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1B3A87F"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352D8656">
                <wp:simplePos x="0" y="0"/>
                <wp:positionH relativeFrom="margin">
                  <wp:align>right</wp:align>
                </wp:positionH>
                <wp:positionV relativeFrom="paragraph">
                  <wp:posOffset>-93610</wp:posOffset>
                </wp:positionV>
                <wp:extent cx="5544000" cy="1506029"/>
                <wp:effectExtent l="38100" t="38100" r="38100" b="37465"/>
                <wp:wrapNone/>
                <wp:docPr id="11" name="Rectángulo rojo"/>
                <wp:cNvGraphicFramePr/>
                <a:graphic xmlns:a="http://schemas.openxmlformats.org/drawingml/2006/main">
                  <a:graphicData uri="http://schemas.microsoft.com/office/word/2010/wordprocessingShape">
                    <wps:wsp>
                      <wps:cNvSpPr/>
                      <wps:spPr>
                        <a:xfrm>
                          <a:off x="0" y="0"/>
                          <a:ext cx="5544000" cy="1506029"/>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2BE48" id="Rectángulo rojo" o:spid="_x0000_s1026" style="position:absolute;margin-left:385.35pt;margin-top:-7.35pt;width:436.55pt;height:118.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06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VeqwIAAK0FAAAOAAAAZHJzL2Uyb0RvYy54bWysVN1O2zAUvp+0d7B8P5JGLYOIFFVFTJMQ&#10;IGDi2jh248nx8Wy3afc2e5a9GMdOmlYM7WLaTXLs8//5O+ficttqshHOKzAVnZzklAjDoVZmVdFv&#10;T9efzijxgZmaaTCiojvh6eX844eLzpaigAZ0LRzBIMaXna1oE4Its8zzRrTMn4AVBpUSXMsCHt0q&#10;qx3rMHqrsyLPT7MOXG0dcOE93l71SjpP8aUUPNxJ6UUguqJYW0hfl74v8ZvNL1i5csw2ig9lsH+o&#10;omXKYNIx1BULjKyd+iNUq7gDDzKccGgzkFJxkXrAbib5m24eG2ZF6gXB8XaEyf+/sPx2c++IqvHt&#10;JpQY1uIbPSBqv3+Z1VoDcfAdIkid9SXaPtp7N5w8irHjrXRt/GMvZJuA3Y3Aim0gHC9ns+k0zxF/&#10;jrrJLD/Ni/MYNTu4W+fDFwEtiUJFHaxNXVwptorVJGjZ5saH3mlvHPMauFZa4z0rtSFdRU/Pz2Z5&#10;8vCgVR21UZkoJZbakQ1DMoRtMVRwZIX1aBONRaLOkC/23nebpLDTos/2ICRCh/0VfbpI2kMGxrkw&#10;YdKrGlaLPvEMgUi8w2RjTQkKbTBgjCyx5DH2EOD92D0cg/2h8NF5wOFvzn2r+8xgwujcKgPuvc40&#10;djVk7u2x/CNoovgC9Q6J5aCfOG/5tcKHvWE+3DOHI4ZkwLUR7vAjNeCzwSBR0oD7+d59tEfmo5aS&#10;Dke2ov7HmjlBif5qcCbOJ8gynPF0mM4+F3hwx5qXY41Zt0tAIiDtsbokRvug96J00D7jdlnErKhi&#10;hmPuivLg9odl6FcJ7icuFotkhnNtWbgxj5bH4PFRIl2fts/M2YHdAQfjFvbjzco31O5to6eBxTqA&#10;VIn3B1wHvHEnJOIM+ysuneNzsjps2fkrAAAA//8DAFBLAwQUAAYACAAAACEAc8TSot8AAAAIAQAA&#10;DwAAAGRycy9kb3ducmV2LnhtbEyPzU7DMBCE70i8g7VI3FrH4adVyKaKkCIhTqXtAW5OvCQR8TqK&#10;3TS8PeYEx9GMZr7Jd4sdxEyT7x0jqHUCgrhxpucW4XSsVlsQPmg2enBMCN/kYVdcX+U6M+7CbzQf&#10;QitiCftMI3QhjJmUvunIar92I3H0Pt1kdYhyaqWZ9CWW20GmSfIore45LnR6pOeOmq/D2SJ4Ve3L&#10;9+PLXiVtwtX8WtanjxLx9mYpn0AEWsJfGH7xIzoUkal2ZzZeDAjxSEBYqfsNiGhvN3cKRI2QpukD&#10;yCKX/w8UPwAAAP//AwBQSwECLQAUAAYACAAAACEAtoM4kv4AAADhAQAAEwAAAAAAAAAAAAAAAAAA&#10;AAAAW0NvbnRlbnRfVHlwZXNdLnhtbFBLAQItABQABgAIAAAAIQA4/SH/1gAAAJQBAAALAAAAAAAA&#10;AAAAAAAAAC8BAABfcmVscy8ucmVsc1BLAQItABQABgAIAAAAIQBEMjVeqwIAAK0FAAAOAAAAAAAA&#10;AAAAAAAAAC4CAABkcnMvZTJvRG9jLnhtbFBLAQItABQABgAIAAAAIQBzxNKi3wAAAAgBAAAPAAAA&#10;AAAAAAAAAAAAAAUFAABkcnMvZG93bnJldi54bWxQSwUGAAAAAAQABADzAAAAEQYAAAAA&#10;" path="m251010,l5544000,r,l5544000,1255019v,138629,-112381,251010,-251010,251010l,1506029r,l,251010c,112381,112381,,251010,xe" filled="f" strokecolor="#a50034 [3215]" strokeweight="5.5pt">
                <v:stroke joinstyle="miter"/>
                <v:path arrowok="t" o:connecttype="custom" o:connectlocs="251010,0;5544000,0;5544000,0;5544000,1255019;5292990,1506029;0,1506029;0,1506029;0,251010;251010,0" o:connectangles="0,0,0,0,0,0,0,0,0"/>
                <w10:wrap anchorx="margin"/>
              </v:shape>
            </w:pict>
          </mc:Fallback>
        </mc:AlternateContent>
      </w:r>
      <w:r w:rsidR="003661CD">
        <w:rPr>
          <w:noProof/>
        </w:rPr>
        <w:t xml:space="preserve">ACUERDO POR EL QUE SE EXPIDEN LOS LINEAMIENTOS DEL FONDO PARA EL FORTALECIMIENTO </w:t>
      </w:r>
      <w:r w:rsidR="003661CD">
        <w:rPr>
          <w:noProof/>
        </w:rPr>
        <w:br/>
        <w:t>DE LA FISCALIZACIÓN DE LA AUDITORÍA SUPERIOR</w:t>
      </w:r>
    </w:p>
    <w:p w14:paraId="6363B920" w14:textId="77777777" w:rsidR="005848F9" w:rsidRPr="005848F9" w:rsidRDefault="005848F9" w:rsidP="005848F9"/>
    <w:p w14:paraId="03C1D9A5" w14:textId="13BD022B" w:rsidR="005848F9" w:rsidRPr="005848F9" w:rsidRDefault="003661CD" w:rsidP="005848F9">
      <w:pPr>
        <w:jc w:val="center"/>
      </w:pPr>
      <w:r>
        <w:t>Publicado</w:t>
      </w:r>
      <w:r w:rsidR="005848F9" w:rsidRPr="005848F9">
        <w:t xml:space="preserve"> en el Periódico Oficial del Gobierno del Estado el </w:t>
      </w:r>
      <w:r>
        <w:t>23 de mayo del 2026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3509064" w:rsidR="005848F9" w:rsidRPr="005848F9" w:rsidRDefault="003661CD" w:rsidP="00285D1F">
      <w:pPr>
        <w:pStyle w:val="NormalExtraBold"/>
      </w:pPr>
      <w:r>
        <w:t>SIN REFORMA</w:t>
      </w:r>
    </w:p>
    <w:bookmarkEnd w:id="0"/>
    <w:p w14:paraId="3F04F9B7" w14:textId="77777777" w:rsidR="003661CD" w:rsidRDefault="003661CD" w:rsidP="003661CD">
      <w:pPr>
        <w:pStyle w:val="NormalExtraBold"/>
        <w:jc w:val="both"/>
      </w:pPr>
    </w:p>
    <w:p w14:paraId="3352BC95" w14:textId="77777777" w:rsidR="003661CD" w:rsidRPr="00694D8D" w:rsidRDefault="003661CD" w:rsidP="003661CD">
      <w:pPr>
        <w:tabs>
          <w:tab w:val="left" w:pos="2970"/>
        </w:tabs>
        <w:rPr>
          <w:rFonts w:ascii="Poppins" w:hAnsi="Poppins" w:cs="Poppins"/>
        </w:rPr>
      </w:pPr>
    </w:p>
    <w:p w14:paraId="0819643E" w14:textId="77777777" w:rsidR="003661CD" w:rsidRPr="003B6897" w:rsidRDefault="003661CD" w:rsidP="003661CD">
      <w:pPr>
        <w:pStyle w:val="NormalExtraBold"/>
        <w:jc w:val="both"/>
        <w:rPr>
          <w:lang w:eastAsia="es-MX"/>
        </w:rPr>
      </w:pPr>
      <w:r w:rsidRPr="003B6897">
        <w:rPr>
          <w:lang w:eastAsia="es-MX"/>
        </w:rPr>
        <w:t>“</w:t>
      </w:r>
      <w:r w:rsidRPr="005A7F40">
        <w:rPr>
          <w:lang w:eastAsia="es-MX"/>
        </w:rPr>
        <w:t xml:space="preserve">ACUERDO POR EL QUE SE EXPIDEN LOS LINEAMIENTOS </w:t>
      </w:r>
      <w:r w:rsidRPr="00494C4A">
        <w:rPr>
          <w:lang w:eastAsia="es-MX"/>
        </w:rPr>
        <w:t>DEL FONDO PARA EL FORTALECIMIENTO DE LA FISCALIZACIÓN DE LA AUDITORÍA SUPERIOR</w:t>
      </w:r>
      <w:r w:rsidRPr="003B6897">
        <w:rPr>
          <w:lang w:eastAsia="es-MX"/>
        </w:rPr>
        <w:t>”</w:t>
      </w:r>
    </w:p>
    <w:p w14:paraId="51275645" w14:textId="77777777" w:rsidR="003661CD" w:rsidRDefault="003661CD" w:rsidP="003661CD">
      <w:pPr>
        <w:pStyle w:val="NormalExtraBold"/>
        <w:jc w:val="both"/>
      </w:pPr>
    </w:p>
    <w:p w14:paraId="6D25744C" w14:textId="77777777" w:rsidR="003661CD" w:rsidRDefault="003661CD" w:rsidP="003661CD">
      <w:pPr>
        <w:tabs>
          <w:tab w:val="left" w:pos="2970"/>
        </w:tabs>
        <w:rPr>
          <w:rFonts w:ascii="Poppins" w:hAnsi="Poppins" w:cs="Poppins"/>
        </w:rPr>
      </w:pPr>
      <w:r w:rsidRPr="003661CD">
        <w:rPr>
          <w:rStyle w:val="NormalExtraBoldCar"/>
        </w:rPr>
        <w:t>L.C.P. SARAHÍ NORIEGA RICÁRDEZ</w:t>
      </w:r>
      <w:r w:rsidRPr="003B6897">
        <w:rPr>
          <w:rFonts w:ascii="Poppins" w:hAnsi="Poppins" w:cs="Poppins"/>
          <w:b/>
          <w:bCs/>
        </w:rPr>
        <w:t>,</w:t>
      </w:r>
      <w:r w:rsidRPr="003B6897">
        <w:rPr>
          <w:rFonts w:ascii="Poppins" w:hAnsi="Poppins" w:cs="Poppins"/>
        </w:rPr>
        <w:t xml:space="preserve"> </w:t>
      </w:r>
      <w:r w:rsidRPr="005A7F40">
        <w:rPr>
          <w:rFonts w:ascii="Poppins" w:hAnsi="Poppins" w:cs="Poppins"/>
        </w:rPr>
        <w:t xml:space="preserve">Titular de la Auditoría Superior de Fiscalización del Estado de Oaxaca, con fundamento en los artículos 65 BIS de la Constitución Política del Estado Libre y Soberano de Oaxaca; </w:t>
      </w:r>
      <w:r>
        <w:rPr>
          <w:rFonts w:ascii="Poppins" w:hAnsi="Poppins" w:cs="Poppins"/>
        </w:rPr>
        <w:t>1, 5 fracción XXXI,</w:t>
      </w:r>
      <w:r w:rsidRPr="005A7F40">
        <w:rPr>
          <w:rFonts w:ascii="Poppins" w:hAnsi="Poppins" w:cs="Poppins"/>
        </w:rPr>
        <w:t xml:space="preserve"> 93 fracciones </w:t>
      </w:r>
      <w:r>
        <w:rPr>
          <w:rFonts w:ascii="Poppins" w:hAnsi="Poppins" w:cs="Poppins"/>
        </w:rPr>
        <w:t>VIII, XXIII y XXIV</w:t>
      </w:r>
      <w:r w:rsidRPr="005A7F40">
        <w:rPr>
          <w:rFonts w:ascii="Poppins" w:hAnsi="Poppins" w:cs="Poppins"/>
        </w:rPr>
        <w:t xml:space="preserve"> de la Ley de Fiscalización Superior y Rendición de Cuentas del Estado de Oaxaca; </w:t>
      </w:r>
      <w:r>
        <w:rPr>
          <w:rFonts w:ascii="Poppins" w:hAnsi="Poppins" w:cs="Poppins"/>
        </w:rPr>
        <w:t>6</w:t>
      </w:r>
      <w:r w:rsidRPr="005A7F40">
        <w:rPr>
          <w:rFonts w:ascii="Poppins" w:hAnsi="Poppins" w:cs="Poppins"/>
        </w:rPr>
        <w:t xml:space="preserve"> fracción X</w:t>
      </w:r>
      <w:r>
        <w:rPr>
          <w:rFonts w:ascii="Poppins" w:hAnsi="Poppins" w:cs="Poppins"/>
        </w:rPr>
        <w:t>I</w:t>
      </w:r>
      <w:r w:rsidRPr="005A7F40">
        <w:rPr>
          <w:rFonts w:ascii="Poppins" w:hAnsi="Poppins" w:cs="Poppins"/>
        </w:rPr>
        <w:t xml:space="preserve"> de</w:t>
      </w:r>
      <w:r>
        <w:rPr>
          <w:rFonts w:ascii="Poppins" w:hAnsi="Poppins" w:cs="Poppins"/>
        </w:rPr>
        <w:t>l Reglamento Interior de la Auditoria Superior de Fiscalización del estado de Oaxaca;</w:t>
      </w:r>
      <w:r w:rsidRPr="003B6897">
        <w:rPr>
          <w:rFonts w:ascii="Poppins" w:hAnsi="Poppins" w:cs="Poppins"/>
        </w:rPr>
        <w:t xml:space="preserve"> y,</w:t>
      </w:r>
    </w:p>
    <w:p w14:paraId="50EB82A4" w14:textId="77777777" w:rsidR="003661CD" w:rsidRDefault="003661CD" w:rsidP="003661CD">
      <w:pPr>
        <w:spacing w:line="240" w:lineRule="auto"/>
        <w:jc w:val="center"/>
        <w:rPr>
          <w:rFonts w:ascii="Poppins" w:hAnsi="Poppins" w:cs="Poppins"/>
          <w:b/>
          <w:bCs/>
        </w:rPr>
      </w:pPr>
    </w:p>
    <w:p w14:paraId="75FFB14E" w14:textId="77777777" w:rsidR="003661CD" w:rsidRPr="00A017FF" w:rsidRDefault="003661CD" w:rsidP="003661CD">
      <w:pPr>
        <w:pStyle w:val="NormalExtraBold"/>
      </w:pPr>
      <w:r w:rsidRPr="00A017FF">
        <w:t>C O N S I D E R A N D O:</w:t>
      </w:r>
    </w:p>
    <w:p w14:paraId="6D41F478" w14:textId="77777777" w:rsidR="003661CD" w:rsidRDefault="003661CD" w:rsidP="003661CD">
      <w:pPr>
        <w:tabs>
          <w:tab w:val="left" w:pos="2970"/>
        </w:tabs>
        <w:rPr>
          <w:rFonts w:ascii="Poppins" w:hAnsi="Poppins" w:cs="Poppins"/>
        </w:rPr>
      </w:pPr>
    </w:p>
    <w:p w14:paraId="164C989B" w14:textId="77777777" w:rsidR="003661CD" w:rsidRPr="00A017FF" w:rsidRDefault="003661CD" w:rsidP="003661CD">
      <w:pPr>
        <w:rPr>
          <w:rFonts w:ascii="Poppins" w:hAnsi="Poppins" w:cs="Poppins"/>
          <w:kern w:val="2"/>
          <w14:ligatures w14:val="standardContextual"/>
        </w:rPr>
      </w:pPr>
      <w:r w:rsidRPr="007B6004">
        <w:rPr>
          <w:rFonts w:ascii="Poppins" w:hAnsi="Poppins" w:cs="Poppins"/>
          <w:b/>
          <w:bCs/>
          <w:kern w:val="2"/>
          <w14:ligatures w14:val="standardContextual"/>
        </w:rPr>
        <w:t>PRIMERO.</w:t>
      </w:r>
      <w:r>
        <w:rPr>
          <w:rFonts w:ascii="Poppins" w:hAnsi="Poppins" w:cs="Poppins"/>
          <w:b/>
          <w:bCs/>
          <w:kern w:val="2"/>
          <w14:ligatures w14:val="standardContextual"/>
        </w:rPr>
        <w:t xml:space="preserve"> </w:t>
      </w:r>
      <w:r w:rsidRPr="00A017FF">
        <w:rPr>
          <w:rFonts w:ascii="Poppins" w:hAnsi="Poppins" w:cs="Poppins"/>
          <w:kern w:val="2"/>
          <w14:ligatures w14:val="standardContextual"/>
        </w:rPr>
        <w:t xml:space="preserve">Que la Auditoría Superior de Fiscalización del Estado de Oaxaca, es el órgano técnico del Congreso del Estado </w:t>
      </w:r>
      <w:r>
        <w:rPr>
          <w:rFonts w:ascii="Poppins" w:hAnsi="Poppins" w:cs="Poppins"/>
          <w:kern w:val="2"/>
          <w14:ligatures w14:val="standardContextual"/>
        </w:rPr>
        <w:t xml:space="preserve">de Oaxaca, </w:t>
      </w:r>
      <w:r w:rsidRPr="00A017FF">
        <w:rPr>
          <w:rFonts w:ascii="Poppins" w:hAnsi="Poppins" w:cs="Poppins"/>
          <w:kern w:val="2"/>
          <w14:ligatures w14:val="standardContextual"/>
        </w:rPr>
        <w:t xml:space="preserve">que tiene a su cargo la revisión y fiscalización de los ingresos, egresos, la deuda pública, el manejo, la custodia, la administración y aplicación de fondos y recursos públicos y, en general de la </w:t>
      </w:r>
      <w:r>
        <w:rPr>
          <w:rFonts w:ascii="Poppins" w:hAnsi="Poppins" w:cs="Poppins"/>
          <w:kern w:val="2"/>
          <w14:ligatures w14:val="standardContextual"/>
        </w:rPr>
        <w:t>g</w:t>
      </w:r>
      <w:r w:rsidRPr="00A017FF">
        <w:rPr>
          <w:rFonts w:ascii="Poppins" w:hAnsi="Poppins" w:cs="Poppins"/>
          <w:kern w:val="2"/>
          <w14:ligatures w14:val="standardContextual"/>
        </w:rPr>
        <w:t xml:space="preserve">estión </w:t>
      </w:r>
      <w:r>
        <w:rPr>
          <w:rFonts w:ascii="Poppins" w:hAnsi="Poppins" w:cs="Poppins"/>
          <w:kern w:val="2"/>
          <w14:ligatures w14:val="standardContextual"/>
        </w:rPr>
        <w:t>f</w:t>
      </w:r>
      <w:r w:rsidRPr="00A017FF">
        <w:rPr>
          <w:rFonts w:ascii="Poppins" w:hAnsi="Poppins" w:cs="Poppins"/>
          <w:kern w:val="2"/>
          <w14:ligatures w14:val="standardContextual"/>
        </w:rPr>
        <w:t>inanciera y las Cuentas Públicas</w:t>
      </w:r>
      <w:r>
        <w:rPr>
          <w:rFonts w:ascii="Poppins" w:hAnsi="Poppins" w:cs="Poppins"/>
          <w:kern w:val="2"/>
          <w14:ligatures w14:val="standardContextual"/>
        </w:rPr>
        <w:t>,</w:t>
      </w:r>
      <w:r w:rsidRPr="00A017FF">
        <w:rPr>
          <w:rFonts w:ascii="Poppins" w:hAnsi="Poppins" w:cs="Poppins"/>
          <w:kern w:val="2"/>
          <w14:ligatures w14:val="standardContextual"/>
        </w:rPr>
        <w:t xml:space="preserve"> de los Poderes del Estado y Municipios, entes públicos estatales y municipales, que ejerzan recursos públicos, organismos públicos estatales, organismos públicos autónomos y particulares que manejen recursos públicos, además de los recursos transferidos a fideicomisos, fondos y mandatos, públicos y privados, o cualquier otra figura jurídica que haya recaudado, administrado, manejado o ejercido recursos públicos estatales o municipales; de conformidad con los procedimientos establecidos en las leyes y sin perjuicio de la competencia de otras autoridades y de los derechos de los usuarios del sistema financiero, de conformidad con lo </w:t>
      </w:r>
      <w:r>
        <w:rPr>
          <w:rFonts w:ascii="Poppins" w:hAnsi="Poppins" w:cs="Poppins"/>
          <w:kern w:val="2"/>
          <w14:ligatures w14:val="standardContextual"/>
        </w:rPr>
        <w:t xml:space="preserve">dispuesto por el artículo 115 fracción IV párrafo penúltimo, 116 fracción II párrafo sexto, 134 párrafos segundo y sexto de la Constitución Política de los Estados Unidos Mexicanos; 59 fracción XXII párrafo primero, 65 BIS, 137 párrafos séptimo y décimo segundo de la Constitución Política del Estado Libre y Soberano de Oaxaca; </w:t>
      </w:r>
      <w:r w:rsidRPr="00A017FF">
        <w:rPr>
          <w:rFonts w:ascii="Poppins" w:hAnsi="Poppins" w:cs="Poppins"/>
          <w:kern w:val="2"/>
          <w14:ligatures w14:val="standardContextual"/>
        </w:rPr>
        <w:t>y 86 de la Ley de Fiscalización Superior y Rendición de Cuentas del Estado de Oaxaca.</w:t>
      </w:r>
    </w:p>
    <w:p w14:paraId="13873346" w14:textId="77777777" w:rsidR="003661CD" w:rsidRPr="00A017FF" w:rsidRDefault="003661CD" w:rsidP="003661CD">
      <w:pPr>
        <w:rPr>
          <w:rFonts w:ascii="Poppins" w:hAnsi="Poppins" w:cs="Poppins"/>
          <w:b/>
          <w:bCs/>
          <w:kern w:val="2"/>
          <w14:ligatures w14:val="standardContextual"/>
        </w:rPr>
      </w:pPr>
    </w:p>
    <w:p w14:paraId="44C6CA6A" w14:textId="77777777" w:rsidR="003661CD" w:rsidRPr="00A017FF" w:rsidRDefault="003661CD" w:rsidP="003661CD">
      <w:pPr>
        <w:rPr>
          <w:rFonts w:ascii="Poppins" w:hAnsi="Poppins" w:cs="Poppins"/>
          <w:kern w:val="2"/>
          <w14:ligatures w14:val="standardContextual"/>
        </w:rPr>
      </w:pPr>
      <w:r w:rsidRPr="00A017FF">
        <w:rPr>
          <w:rFonts w:ascii="Poppins" w:hAnsi="Poppins" w:cs="Poppins"/>
          <w:b/>
          <w:bCs/>
          <w:kern w:val="2"/>
          <w14:ligatures w14:val="standardContextual"/>
        </w:rPr>
        <w:t xml:space="preserve">SEGUNDO. </w:t>
      </w:r>
      <w:r w:rsidRPr="00A017FF">
        <w:rPr>
          <w:rFonts w:ascii="Poppins" w:hAnsi="Poppins" w:cs="Poppins"/>
          <w:kern w:val="2"/>
          <w14:ligatures w14:val="standardContextual"/>
        </w:rPr>
        <w:t xml:space="preserve">Que la </w:t>
      </w:r>
      <w:r>
        <w:rPr>
          <w:rFonts w:ascii="Poppins" w:hAnsi="Poppins" w:cs="Poppins"/>
          <w:kern w:val="2"/>
          <w14:ligatures w14:val="standardContextual"/>
        </w:rPr>
        <w:t xml:space="preserve">Ley de Fiscalización Superior y Rendición de Cuentas del Estado de Oaxaca establece la creación del Fondo para el Fortalecimiento de la Fiscalización, con el objeto de </w:t>
      </w:r>
      <w:r>
        <w:rPr>
          <w:rFonts w:ascii="Poppins" w:hAnsi="Poppins" w:cs="Poppins"/>
          <w:kern w:val="2"/>
          <w14:ligatures w14:val="standardContextual"/>
        </w:rPr>
        <w:lastRenderedPageBreak/>
        <w:t>promover la capacitación, fortalecer la fiscalización y fomentar la cultura de transparencia y rendición de cuentas</w:t>
      </w:r>
      <w:r w:rsidRPr="00A017FF">
        <w:rPr>
          <w:rFonts w:ascii="Poppins" w:hAnsi="Poppins" w:cs="Poppins"/>
          <w:kern w:val="2"/>
          <w14:ligatures w14:val="standardContextual"/>
        </w:rPr>
        <w:t>.</w:t>
      </w:r>
    </w:p>
    <w:p w14:paraId="19501103" w14:textId="77777777" w:rsidR="003661CD" w:rsidRPr="00A017FF" w:rsidRDefault="003661CD" w:rsidP="003661CD">
      <w:pPr>
        <w:rPr>
          <w:rFonts w:ascii="Poppins" w:hAnsi="Poppins" w:cs="Poppins"/>
          <w:b/>
          <w:bCs/>
          <w:kern w:val="2"/>
          <w14:ligatures w14:val="standardContextual"/>
        </w:rPr>
      </w:pPr>
    </w:p>
    <w:p w14:paraId="2FA96506" w14:textId="77777777" w:rsidR="003661CD" w:rsidRPr="00A017FF" w:rsidRDefault="003661CD" w:rsidP="003661CD">
      <w:pPr>
        <w:rPr>
          <w:rFonts w:ascii="Poppins" w:hAnsi="Poppins" w:cs="Poppins"/>
          <w:kern w:val="2"/>
          <w14:ligatures w14:val="standardContextual"/>
        </w:rPr>
      </w:pPr>
      <w:r w:rsidRPr="00A017FF">
        <w:rPr>
          <w:rFonts w:ascii="Poppins" w:hAnsi="Poppins" w:cs="Poppins"/>
          <w:b/>
          <w:bCs/>
          <w:kern w:val="2"/>
          <w14:ligatures w14:val="standardContextual"/>
        </w:rPr>
        <w:t>TERCERO.</w:t>
      </w:r>
      <w:r w:rsidRPr="00A017FF">
        <w:rPr>
          <w:rFonts w:ascii="Poppins" w:hAnsi="Poppins" w:cs="Poppins"/>
          <w:kern w:val="2"/>
          <w14:ligatures w14:val="standardContextual"/>
        </w:rPr>
        <w:t xml:space="preserve"> Que </w:t>
      </w:r>
      <w:r>
        <w:rPr>
          <w:rFonts w:ascii="Poppins" w:hAnsi="Poppins" w:cs="Poppins"/>
          <w:kern w:val="2"/>
          <w14:ligatures w14:val="standardContextual"/>
        </w:rPr>
        <w:t>los artículos 106 y 107 de la Ley de Fiscalización Superior y Rendición de Cuentas del Estado de Oaxaca establecen la finalidad especifica del Fondo para el Fortalecimiento de la Fiscalización, prohibiendo expresamente que los recursos se destinen a gastos corrientes, y asignados de coadyuvar en estas funciones;</w:t>
      </w:r>
    </w:p>
    <w:p w14:paraId="10957538" w14:textId="77777777" w:rsidR="003661CD" w:rsidRPr="00A017FF" w:rsidRDefault="003661CD" w:rsidP="003661CD">
      <w:pPr>
        <w:rPr>
          <w:rFonts w:ascii="Poppins" w:hAnsi="Poppins" w:cs="Poppins"/>
          <w:kern w:val="2"/>
          <w14:ligatures w14:val="standardContextual"/>
        </w:rPr>
      </w:pPr>
    </w:p>
    <w:p w14:paraId="50BE973F" w14:textId="77777777" w:rsidR="003661CD" w:rsidRDefault="003661CD" w:rsidP="003661CD">
      <w:pPr>
        <w:rPr>
          <w:rFonts w:ascii="Poppins" w:hAnsi="Poppins" w:cs="Poppins"/>
          <w:kern w:val="2"/>
          <w14:ligatures w14:val="standardContextual"/>
        </w:rPr>
      </w:pPr>
      <w:r w:rsidRPr="00E7457C">
        <w:rPr>
          <w:rFonts w:ascii="Poppins" w:hAnsi="Poppins" w:cs="Poppins"/>
          <w:b/>
          <w:bCs/>
          <w:kern w:val="2"/>
          <w14:ligatures w14:val="standardContextual"/>
        </w:rPr>
        <w:t>Cuarto.</w:t>
      </w:r>
      <w:r>
        <w:rPr>
          <w:rFonts w:ascii="Poppins" w:hAnsi="Poppins" w:cs="Poppins"/>
          <w:b/>
          <w:bCs/>
          <w:kern w:val="2"/>
          <w14:ligatures w14:val="standardContextual"/>
        </w:rPr>
        <w:t xml:space="preserve"> </w:t>
      </w:r>
      <w:r w:rsidRPr="00E7457C">
        <w:rPr>
          <w:rFonts w:ascii="Poppins" w:hAnsi="Poppins" w:cs="Poppins"/>
          <w:kern w:val="2"/>
          <w14:ligatures w14:val="standardContextual"/>
        </w:rPr>
        <w:t>Que</w:t>
      </w:r>
      <w:r>
        <w:rPr>
          <w:rFonts w:ascii="Poppins" w:hAnsi="Poppins" w:cs="Poppins"/>
          <w:kern w:val="2"/>
          <w14:ligatures w14:val="standardContextual"/>
        </w:rPr>
        <w:t xml:space="preserve"> es necesario contar con lineamientos claros y homogéneos que regulen la planeación, proposición, validación, ejercicio, control, registro y seguimiento de los recursos del Fondo para el Fortalecimiento de la Fiscalización, así como la operación del Comité Técnico encargado de coadyuvar en estas funciones.  </w:t>
      </w:r>
    </w:p>
    <w:p w14:paraId="3ABD24AD" w14:textId="77777777" w:rsidR="003661CD" w:rsidRDefault="003661CD" w:rsidP="003661CD">
      <w:pPr>
        <w:rPr>
          <w:rFonts w:ascii="Poppins" w:hAnsi="Poppins" w:cs="Poppins"/>
          <w:kern w:val="2"/>
          <w14:ligatures w14:val="standardContextual"/>
        </w:rPr>
      </w:pPr>
    </w:p>
    <w:p w14:paraId="0534E40E" w14:textId="77777777" w:rsidR="003661CD" w:rsidRDefault="003661CD" w:rsidP="003661CD">
      <w:pPr>
        <w:rPr>
          <w:rFonts w:ascii="Poppins" w:hAnsi="Poppins" w:cs="Poppins"/>
          <w:kern w:val="2"/>
          <w14:ligatures w14:val="standardContextual"/>
        </w:rPr>
      </w:pPr>
      <w:r w:rsidRPr="00F42D05">
        <w:rPr>
          <w:rFonts w:ascii="Poppins" w:hAnsi="Poppins" w:cs="Poppins"/>
          <w:b/>
          <w:bCs/>
          <w:kern w:val="2"/>
          <w14:ligatures w14:val="standardContextual"/>
        </w:rPr>
        <w:t>Quinto.</w:t>
      </w:r>
      <w:r>
        <w:rPr>
          <w:rFonts w:ascii="Poppins" w:hAnsi="Poppins" w:cs="Poppins"/>
          <w:kern w:val="2"/>
          <w14:ligatures w14:val="standardContextual"/>
        </w:rPr>
        <w:t xml:space="preserve"> Que los presentes Lineamientos garantizan la legalidad, transparencia, eficiencia y rendición de cuentas, en concordancia con la normativa aplicable, incluyendo la Ley de Fiscalización Superior y Rendición de Cuentas del Estado, la Ley General de Contabilidad Gubernamental, la Ley de Disciplina Financiera y demás disposiciones jurídicas pertinentes;</w:t>
      </w:r>
    </w:p>
    <w:p w14:paraId="591DB371" w14:textId="77777777" w:rsidR="003661CD" w:rsidRDefault="003661CD" w:rsidP="003661CD">
      <w:pPr>
        <w:rPr>
          <w:rFonts w:ascii="Poppins" w:hAnsi="Poppins" w:cs="Poppins"/>
          <w:kern w:val="2"/>
          <w14:ligatures w14:val="standardContextual"/>
        </w:rPr>
      </w:pPr>
    </w:p>
    <w:p w14:paraId="6379E564" w14:textId="77777777" w:rsidR="003661CD" w:rsidRPr="00A017FF" w:rsidRDefault="003661CD" w:rsidP="003661CD">
      <w:pPr>
        <w:rPr>
          <w:rFonts w:ascii="Poppins" w:hAnsi="Poppins" w:cs="Poppins"/>
          <w:kern w:val="2"/>
          <w14:ligatures w14:val="standardContextual"/>
        </w:rPr>
      </w:pPr>
      <w:r>
        <w:rPr>
          <w:rFonts w:ascii="Poppins" w:hAnsi="Poppins" w:cs="Poppins"/>
          <w:kern w:val="2"/>
          <w14:ligatures w14:val="standardContextual"/>
        </w:rPr>
        <w:t xml:space="preserve">En mérito de lo expuesto, tengo a bien emitir el siguiente: </w:t>
      </w:r>
    </w:p>
    <w:p w14:paraId="56622A62" w14:textId="77777777" w:rsidR="003661CD" w:rsidRPr="00A017FF" w:rsidRDefault="003661CD" w:rsidP="003661CD">
      <w:pPr>
        <w:jc w:val="center"/>
        <w:rPr>
          <w:rFonts w:ascii="Poppins" w:eastAsia="Mali Light" w:hAnsi="Poppins" w:cs="Poppins"/>
          <w:b/>
          <w:bCs/>
          <w:lang w:eastAsia="es-MX"/>
        </w:rPr>
      </w:pPr>
    </w:p>
    <w:p w14:paraId="0F00D183" w14:textId="77777777" w:rsidR="003661CD" w:rsidRDefault="003661CD" w:rsidP="003661CD">
      <w:pPr>
        <w:jc w:val="center"/>
        <w:rPr>
          <w:rFonts w:ascii="Poppins" w:eastAsia="Sublima ExtraBold" w:hAnsi="Poppins" w:cs="Poppins"/>
          <w:b/>
          <w:lang w:eastAsia="es-MX"/>
        </w:rPr>
      </w:pPr>
      <w:r>
        <w:rPr>
          <w:rFonts w:ascii="Poppins" w:eastAsia="Mali Light" w:hAnsi="Poppins" w:cs="Poppins"/>
          <w:b/>
          <w:bCs/>
          <w:lang w:eastAsia="es-MX"/>
        </w:rPr>
        <w:t>“</w:t>
      </w:r>
      <w:r w:rsidRPr="003661CD">
        <w:rPr>
          <w:rStyle w:val="NormalExtraBoldCar"/>
        </w:rPr>
        <w:t>ACUERDO POR EL QUE SE EXPIDEN LOS LINEAMIENTOS DEL FONDO PARA EL FORTALECIMIENTO DE LA FISCALIZACIÓN DE LA AUDITORÍA SUPERIOR”</w:t>
      </w:r>
    </w:p>
    <w:p w14:paraId="2D725540" w14:textId="77777777" w:rsidR="003661CD" w:rsidRPr="00A017FF" w:rsidRDefault="003661CD" w:rsidP="003661CD">
      <w:pPr>
        <w:jc w:val="center"/>
        <w:rPr>
          <w:rFonts w:ascii="Poppins" w:eastAsia="Mali Light" w:hAnsi="Poppins" w:cs="Poppins"/>
          <w:lang w:eastAsia="es-MX"/>
        </w:rPr>
      </w:pPr>
    </w:p>
    <w:p w14:paraId="163D36BE" w14:textId="77777777" w:rsidR="003661CD" w:rsidRPr="009410FC" w:rsidRDefault="003661CD" w:rsidP="003661CD">
      <w:pPr>
        <w:rPr>
          <w:rFonts w:ascii="Poppins" w:eastAsia="Mali Light" w:hAnsi="Poppins" w:cs="Poppins"/>
          <w:bCs/>
          <w:lang w:eastAsia="es-MX"/>
        </w:rPr>
      </w:pPr>
      <w:r>
        <w:rPr>
          <w:rFonts w:ascii="Poppins" w:eastAsia="Mali Light" w:hAnsi="Poppins" w:cs="Poppins"/>
          <w:b/>
          <w:bCs/>
          <w:lang w:eastAsia="es-MX"/>
        </w:rPr>
        <w:t>ÚNICO</w:t>
      </w:r>
      <w:r w:rsidRPr="00A017FF">
        <w:rPr>
          <w:rFonts w:ascii="Poppins" w:eastAsia="Mali Light" w:hAnsi="Poppins" w:cs="Poppins"/>
          <w:b/>
          <w:bCs/>
          <w:lang w:eastAsia="es-MX"/>
        </w:rPr>
        <w:t>.</w:t>
      </w:r>
      <w:r>
        <w:rPr>
          <w:rFonts w:ascii="Poppins" w:eastAsia="Mali Light" w:hAnsi="Poppins" w:cs="Poppins"/>
          <w:lang w:eastAsia="es-MX"/>
        </w:rPr>
        <w:t xml:space="preserve"> Con fundamento en el artículo 93 fracciones VIII, XXIII y XXIV, 106 y 107 de la Ley de Fiscalización Superior y Rendición de Cuentas del Estado de Oaxaca; 6 fracción XI de Reglamento Interior de la Auditoría Superior de Fiscalización del Estado de Oaxaca, se expiden </w:t>
      </w:r>
      <w:r w:rsidRPr="009410FC">
        <w:rPr>
          <w:rFonts w:ascii="Poppins" w:eastAsia="Mali Light" w:hAnsi="Poppins" w:cs="Poppins"/>
          <w:b/>
          <w:bCs/>
          <w:lang w:eastAsia="es-MX"/>
        </w:rPr>
        <w:t>LOS LINEAMIENTOS</w:t>
      </w:r>
      <w:r>
        <w:rPr>
          <w:rFonts w:ascii="Poppins" w:eastAsia="Mali Light" w:hAnsi="Poppins" w:cs="Poppins"/>
          <w:lang w:eastAsia="es-MX"/>
        </w:rPr>
        <w:t xml:space="preserve"> </w:t>
      </w:r>
      <w:r w:rsidRPr="00494C4A">
        <w:rPr>
          <w:rFonts w:ascii="Poppins" w:eastAsia="Sublima ExtraBold" w:hAnsi="Poppins" w:cs="Poppins"/>
          <w:b/>
          <w:lang w:eastAsia="es-MX"/>
        </w:rPr>
        <w:t>DEL FONDO PARA EL FORTALECIMIENTO DE LA FISCALIZACIÓN DE LA AUDITORÍA SUPERIOR</w:t>
      </w:r>
      <w:r>
        <w:rPr>
          <w:rFonts w:ascii="Poppins" w:eastAsia="Sublima ExtraBold" w:hAnsi="Poppins" w:cs="Poppins"/>
          <w:b/>
          <w:lang w:eastAsia="es-MX"/>
        </w:rPr>
        <w:t xml:space="preserve">”, </w:t>
      </w:r>
      <w:r>
        <w:rPr>
          <w:rFonts w:ascii="Poppins" w:eastAsia="Sublima ExtraBold" w:hAnsi="Poppins" w:cs="Poppins"/>
          <w:bCs/>
          <w:lang w:eastAsia="es-MX"/>
        </w:rPr>
        <w:t xml:space="preserve">los cuales forman parte Integral de este Acuerdo como </w:t>
      </w:r>
      <w:r w:rsidRPr="009410FC">
        <w:rPr>
          <w:rFonts w:ascii="Poppins" w:eastAsia="Sublima ExtraBold" w:hAnsi="Poppins" w:cs="Poppins"/>
          <w:b/>
          <w:lang w:eastAsia="es-MX"/>
        </w:rPr>
        <w:t>Anexo Único.</w:t>
      </w:r>
      <w:r>
        <w:rPr>
          <w:rFonts w:ascii="Poppins" w:eastAsia="Sublima ExtraBold" w:hAnsi="Poppins" w:cs="Poppins"/>
          <w:bCs/>
          <w:lang w:eastAsia="es-MX"/>
        </w:rPr>
        <w:t xml:space="preserve"> </w:t>
      </w:r>
    </w:p>
    <w:p w14:paraId="4569DD3B" w14:textId="77777777" w:rsidR="003661CD" w:rsidRDefault="003661CD" w:rsidP="003661CD">
      <w:pPr>
        <w:jc w:val="center"/>
        <w:rPr>
          <w:rFonts w:ascii="Poppins" w:eastAsia="Mali Light" w:hAnsi="Poppins" w:cs="Poppins"/>
          <w:b/>
          <w:bCs/>
          <w:lang w:eastAsia="es-MX"/>
        </w:rPr>
      </w:pPr>
    </w:p>
    <w:p w14:paraId="095901D8" w14:textId="77777777" w:rsidR="003661CD" w:rsidRDefault="003661CD" w:rsidP="003661CD">
      <w:pPr>
        <w:pStyle w:val="NormalExtraBold"/>
        <w:rPr>
          <w:lang w:eastAsia="es-MX"/>
        </w:rPr>
      </w:pPr>
      <w:r w:rsidRPr="00A017FF">
        <w:rPr>
          <w:lang w:eastAsia="es-MX"/>
        </w:rPr>
        <w:t>T R A N S I T O R I O S:</w:t>
      </w:r>
    </w:p>
    <w:p w14:paraId="36A8740A" w14:textId="77777777" w:rsidR="003661CD" w:rsidRPr="00A017FF" w:rsidRDefault="003661CD" w:rsidP="003661CD">
      <w:pPr>
        <w:jc w:val="center"/>
        <w:rPr>
          <w:rFonts w:ascii="Poppins" w:eastAsia="Mali Light" w:hAnsi="Poppins" w:cs="Poppins"/>
          <w:b/>
          <w:bCs/>
          <w:lang w:eastAsia="es-MX"/>
        </w:rPr>
      </w:pPr>
    </w:p>
    <w:p w14:paraId="777882CA" w14:textId="77777777" w:rsidR="003661CD" w:rsidRPr="00A017FF" w:rsidRDefault="003661CD" w:rsidP="003661CD">
      <w:pPr>
        <w:tabs>
          <w:tab w:val="left" w:pos="2970"/>
        </w:tabs>
        <w:rPr>
          <w:rFonts w:ascii="Poppins" w:hAnsi="Poppins" w:cs="Poppins"/>
        </w:rPr>
      </w:pPr>
      <w:r>
        <w:rPr>
          <w:rFonts w:ascii="Poppins" w:hAnsi="Poppins" w:cs="Poppins"/>
          <w:b/>
          <w:bCs/>
        </w:rPr>
        <w:t>UNICO</w:t>
      </w:r>
      <w:r w:rsidRPr="00A017FF">
        <w:rPr>
          <w:rFonts w:ascii="Poppins" w:hAnsi="Poppins" w:cs="Poppins"/>
          <w:b/>
          <w:bCs/>
        </w:rPr>
        <w:t>.</w:t>
      </w:r>
      <w:r w:rsidRPr="00A017FF">
        <w:rPr>
          <w:rFonts w:ascii="Poppins" w:hAnsi="Poppins" w:cs="Poppins"/>
        </w:rPr>
        <w:t xml:space="preserve"> </w:t>
      </w:r>
      <w:r>
        <w:rPr>
          <w:rFonts w:ascii="Poppins" w:hAnsi="Poppins" w:cs="Poppins"/>
        </w:rPr>
        <w:t xml:space="preserve">El presente </w:t>
      </w:r>
      <w:r w:rsidRPr="000E65A2">
        <w:rPr>
          <w:rFonts w:ascii="Poppins" w:hAnsi="Poppins" w:cs="Poppins"/>
          <w:b/>
          <w:bCs/>
        </w:rPr>
        <w:t>Acuerdo,</w:t>
      </w:r>
      <w:r>
        <w:rPr>
          <w:rFonts w:ascii="Poppins" w:hAnsi="Poppins" w:cs="Poppins"/>
        </w:rPr>
        <w:t xml:space="preserve"> entrará en vigor el día de su publicación en el Periódico Oficial del Gobierno del Estado.</w:t>
      </w:r>
    </w:p>
    <w:p w14:paraId="653E7372" w14:textId="77777777" w:rsidR="003661CD" w:rsidRPr="00A017FF" w:rsidRDefault="003661CD" w:rsidP="003661CD">
      <w:pPr>
        <w:tabs>
          <w:tab w:val="left" w:pos="2970"/>
        </w:tabs>
        <w:rPr>
          <w:rFonts w:ascii="Poppins" w:hAnsi="Poppins" w:cs="Poppins"/>
        </w:rPr>
      </w:pPr>
    </w:p>
    <w:p w14:paraId="27DFC431" w14:textId="77777777" w:rsidR="003661CD" w:rsidRPr="00A017FF" w:rsidRDefault="003661CD" w:rsidP="003661CD">
      <w:pPr>
        <w:tabs>
          <w:tab w:val="left" w:pos="2970"/>
        </w:tabs>
        <w:rPr>
          <w:rFonts w:ascii="Poppins" w:hAnsi="Poppins" w:cs="Poppins"/>
        </w:rPr>
      </w:pPr>
      <w:r w:rsidRPr="00A017FF">
        <w:rPr>
          <w:rFonts w:ascii="Poppins" w:hAnsi="Poppins" w:cs="Poppins"/>
        </w:rPr>
        <w:t xml:space="preserve">Así lo acordó y firma </w:t>
      </w:r>
      <w:r>
        <w:rPr>
          <w:rFonts w:ascii="Poppins" w:hAnsi="Poppins" w:cs="Poppins"/>
        </w:rPr>
        <w:t xml:space="preserve">por duplicado </w:t>
      </w:r>
      <w:r w:rsidRPr="00A017FF">
        <w:rPr>
          <w:rFonts w:ascii="Poppins" w:hAnsi="Poppins" w:cs="Poppins"/>
        </w:rPr>
        <w:t xml:space="preserve">la Titular de la Auditoría Superior de Fiscalización del Estado de Oaxaca, L.C.P. Sarahí Noriega Ricárdez. </w:t>
      </w:r>
    </w:p>
    <w:p w14:paraId="4E76553B" w14:textId="77777777" w:rsidR="003661CD" w:rsidRPr="00A017FF" w:rsidRDefault="003661CD" w:rsidP="003661CD">
      <w:pPr>
        <w:tabs>
          <w:tab w:val="left" w:pos="2970"/>
        </w:tabs>
        <w:rPr>
          <w:rFonts w:ascii="Poppins" w:hAnsi="Poppins" w:cs="Poppins"/>
        </w:rPr>
      </w:pPr>
    </w:p>
    <w:p w14:paraId="2CB09293" w14:textId="77777777" w:rsidR="003661CD" w:rsidRDefault="003661CD" w:rsidP="003661CD">
      <w:pPr>
        <w:tabs>
          <w:tab w:val="left" w:pos="2970"/>
        </w:tabs>
        <w:rPr>
          <w:rFonts w:ascii="Poppins" w:hAnsi="Poppins" w:cs="Poppins"/>
        </w:rPr>
      </w:pPr>
      <w:r w:rsidRPr="00A017FF">
        <w:rPr>
          <w:rFonts w:ascii="Poppins" w:hAnsi="Poppins" w:cs="Poppins"/>
        </w:rPr>
        <w:t xml:space="preserve">Dado en Oaxaca de Juárez, Centro, Oaxaca; a los </w:t>
      </w:r>
      <w:r>
        <w:rPr>
          <w:rFonts w:ascii="Poppins" w:hAnsi="Poppins" w:cs="Poppins"/>
        </w:rPr>
        <w:t>treinta</w:t>
      </w:r>
      <w:r w:rsidRPr="00A017FF">
        <w:rPr>
          <w:rFonts w:ascii="Poppins" w:hAnsi="Poppins" w:cs="Poppins"/>
        </w:rPr>
        <w:t xml:space="preserve"> días del mes de </w:t>
      </w:r>
      <w:r>
        <w:rPr>
          <w:rFonts w:ascii="Poppins" w:hAnsi="Poppins" w:cs="Poppins"/>
        </w:rPr>
        <w:t>abril</w:t>
      </w:r>
      <w:r w:rsidRPr="00A017FF">
        <w:rPr>
          <w:rFonts w:ascii="Poppins" w:hAnsi="Poppins" w:cs="Poppins"/>
        </w:rPr>
        <w:t xml:space="preserve"> del año dos mil veinti</w:t>
      </w:r>
      <w:r>
        <w:rPr>
          <w:rFonts w:ascii="Poppins" w:hAnsi="Poppins" w:cs="Poppins"/>
        </w:rPr>
        <w:t>séis</w:t>
      </w:r>
      <w:r w:rsidRPr="00A017FF">
        <w:rPr>
          <w:rFonts w:ascii="Poppins" w:hAnsi="Poppins" w:cs="Poppins"/>
        </w:rPr>
        <w:t>.</w:t>
      </w:r>
    </w:p>
    <w:p w14:paraId="0CF3D896" w14:textId="77777777" w:rsidR="003661CD" w:rsidRDefault="003661CD" w:rsidP="003661CD">
      <w:pPr>
        <w:pStyle w:val="NormalExtraBold"/>
        <w:rPr>
          <w:u w:color="000000"/>
          <w:bdr w:val="nil"/>
          <w:lang w:val="es-ES" w:eastAsia="es-MX"/>
        </w:rPr>
      </w:pPr>
      <w:r w:rsidRPr="00A017FF">
        <w:rPr>
          <w:u w:color="000000"/>
          <w:bdr w:val="nil"/>
          <w:lang w:val="es-ES" w:eastAsia="es-MX"/>
        </w:rPr>
        <w:lastRenderedPageBreak/>
        <w:t>Anexo Único</w:t>
      </w:r>
    </w:p>
    <w:p w14:paraId="01C8BB67" w14:textId="77777777" w:rsidR="003661CD" w:rsidRPr="005A7F40" w:rsidRDefault="003661CD" w:rsidP="003661CD">
      <w:pPr>
        <w:pStyle w:val="NormalExtraBold"/>
        <w:rPr>
          <w:u w:color="000000"/>
          <w:bdr w:val="nil"/>
          <w:lang w:val="es-ES" w:eastAsia="es-MX"/>
        </w:rPr>
      </w:pPr>
    </w:p>
    <w:p w14:paraId="0CCA07C8" w14:textId="77777777" w:rsidR="003661CD" w:rsidRDefault="003661CD" w:rsidP="003661CD">
      <w:pPr>
        <w:pStyle w:val="NormalExtraBold"/>
        <w:rPr>
          <w:rFonts w:eastAsia="Sublima ExtraBold"/>
          <w:lang w:eastAsia="es-MX"/>
        </w:rPr>
      </w:pPr>
      <w:r w:rsidRPr="005A7F40">
        <w:rPr>
          <w:u w:color="000000"/>
          <w:bdr w:val="nil"/>
          <w:lang w:val="es-ES" w:eastAsia="es-MX"/>
        </w:rPr>
        <w:t xml:space="preserve">LINEAMIENTOS </w:t>
      </w:r>
      <w:r w:rsidRPr="00494C4A">
        <w:rPr>
          <w:rFonts w:eastAsia="Sublima ExtraBold"/>
          <w:lang w:eastAsia="es-MX"/>
        </w:rPr>
        <w:t>DEL FONDO PARA EL FORTALECIMIENTO DE LA FISCALIZACIÓN DE LA AUDITORÍA SUPERIOR</w:t>
      </w:r>
      <w:r>
        <w:rPr>
          <w:rFonts w:eastAsia="Sublima ExtraBold"/>
          <w:lang w:eastAsia="es-MX"/>
        </w:rPr>
        <w:t xml:space="preserve"> DE FISCALIZACIÓN DEL ESTADO DE OAXACA</w:t>
      </w:r>
    </w:p>
    <w:p w14:paraId="3D994153" w14:textId="77777777" w:rsidR="003661CD" w:rsidRPr="005A7F40" w:rsidRDefault="003661CD" w:rsidP="003661CD">
      <w:pPr>
        <w:pBdr>
          <w:top w:val="nil"/>
          <w:left w:val="nil"/>
          <w:bottom w:val="nil"/>
          <w:right w:val="nil"/>
          <w:between w:val="nil"/>
          <w:bar w:val="nil"/>
        </w:pBdr>
        <w:jc w:val="cente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B6BEA6E"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Artículo 1. Objeto </w:t>
      </w:r>
    </w:p>
    <w:p w14:paraId="360D4DFC"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Los presentes lineamientos </w:t>
      </w:r>
      <w:r>
        <w:rPr>
          <w:rFonts w:ascii="Poppins" w:eastAsia="Poppins" w:hAnsi="Poppins" w:cs="Poppins"/>
          <w:color w:val="000000"/>
          <w:u w:color="000000"/>
          <w:bdr w:val="nil"/>
          <w:lang w:val="es-ES" w:eastAsia="es-MX"/>
          <w14:textOutline w14:w="0" w14:cap="flat" w14:cmpd="sng" w14:algn="ctr">
            <w14:noFill/>
            <w14:prstDash w14:val="solid"/>
            <w14:bevel/>
          </w14:textOutline>
        </w:rPr>
        <w:t>tienen por objeto regular la administración, planeación, ejercicio, control, seguimiento y rendición de cuentas de los recursos que integran el Fondo para el Fortalecimiento de la Fiscalización, previsto en los artículos 106 y 109 de la Ley de Fiscalización Superior y Rendición de Cuentas del Estado de Oaxaca</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37759616"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50BA628" w14:textId="77777777" w:rsidR="003661CD"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 Fundamento legal</w:t>
      </w:r>
    </w:p>
    <w:p w14:paraId="1AF2100B" w14:textId="77777777" w:rsidR="003661CD" w:rsidRPr="00C649C8"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Los Lineamientos se emiten con fundamento en los artículos 106, 107, 108 y 109 de la Ley de Fiscalización Superior y Rendición de Cuentas del Estado de Oaxaca, así como en la autonomía técnica y de gestión de la Auditoría Superior de Fiscalización del Estado de Oaxaca. </w:t>
      </w:r>
    </w:p>
    <w:p w14:paraId="535E42B9"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2328D0B" w14:textId="77777777" w:rsidR="003661CD" w:rsidRPr="00C649C8"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C649C8">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3. Ámbito de aplicación</w:t>
      </w:r>
      <w:r w:rsidRPr="00C649C8">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4859D708" w14:textId="77777777" w:rsidR="003661CD" w:rsidRPr="005A7F40"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presentes Lineamientos son de observancia obligatoria para las áreas de la Auditoría Superior de Fiscalización del Estado de Oaxaca que intervenga en la administración, ejercicio, control y seguimiento del Fondo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w:t>
      </w:r>
    </w:p>
    <w:p w14:paraId="399B274C"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03F5CD6"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4</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Definiciones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69D9497E"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Para efectos de los presentes Lineamientos, se entenderá por:</w:t>
      </w:r>
    </w:p>
    <w:p w14:paraId="4FE5591D" w14:textId="77777777" w:rsidR="003661CD" w:rsidRDefault="003661CD" w:rsidP="003661CD">
      <w:pPr>
        <w:pStyle w:val="Prrafodelista"/>
        <w:numPr>
          <w:ilvl w:val="0"/>
          <w:numId w:val="3"/>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9B34CB">
        <w:rPr>
          <w:rFonts w:ascii="Poppins" w:eastAsia="Poppins" w:hAnsi="Poppins" w:cs="Poppins"/>
          <w:color w:val="000000"/>
          <w:u w:color="000000"/>
          <w:bdr w:val="nil"/>
          <w:lang w:eastAsia="es-MX"/>
          <w14:textOutline w14:w="0" w14:cap="flat" w14:cmpd="sng" w14:algn="ctr">
            <w14:noFill/>
            <w14:prstDash w14:val="solid"/>
            <w14:bevel/>
          </w14:textOutline>
        </w:rPr>
        <w:t>Auditoría Superior: La Auditoría Superior del Estado de Oaxaca;</w:t>
      </w:r>
    </w:p>
    <w:p w14:paraId="2C988E6B" w14:textId="77777777" w:rsidR="003661CD" w:rsidRDefault="003661CD" w:rsidP="003661CD">
      <w:pPr>
        <w:pStyle w:val="Prrafodelista"/>
        <w:numPr>
          <w:ilvl w:val="0"/>
          <w:numId w:val="3"/>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Comité Técnico: El Comité Técnico del Fondo para el Fortalecimiento de la Fiscalización;</w:t>
      </w:r>
    </w:p>
    <w:p w14:paraId="739C7363" w14:textId="77777777" w:rsidR="003661CD" w:rsidRDefault="003661CD" w:rsidP="003661CD">
      <w:pPr>
        <w:pStyle w:val="Prrafodelista"/>
        <w:numPr>
          <w:ilvl w:val="0"/>
          <w:numId w:val="3"/>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Entidades Fiscalizadoras: Las señaladas en la fracción XII del artículo 2 de la Ley;</w:t>
      </w:r>
    </w:p>
    <w:p w14:paraId="540398F8" w14:textId="77777777" w:rsidR="003661CD" w:rsidRDefault="003661CD" w:rsidP="003661CD">
      <w:pPr>
        <w:pStyle w:val="Prrafodelista"/>
        <w:numPr>
          <w:ilvl w:val="0"/>
          <w:numId w:val="3"/>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Fondo: El Fondo para el Fortalecimiento de la Fiscalización;</w:t>
      </w:r>
    </w:p>
    <w:p w14:paraId="2910539D" w14:textId="77777777" w:rsidR="003661CD" w:rsidRDefault="003661CD" w:rsidP="003661CD">
      <w:pPr>
        <w:pStyle w:val="Prrafodelista"/>
        <w:numPr>
          <w:ilvl w:val="0"/>
          <w:numId w:val="3"/>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Ley: La Ley de Fiscalización Superior y Rendición de Cuentas del Estado de Oaxaca;</w:t>
      </w:r>
    </w:p>
    <w:p w14:paraId="726468A0" w14:textId="77777777" w:rsidR="003661CD" w:rsidRDefault="003661CD" w:rsidP="003661CD">
      <w:pPr>
        <w:pStyle w:val="Prrafodelista"/>
        <w:numPr>
          <w:ilvl w:val="0"/>
          <w:numId w:val="3"/>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Programa Anual: El Programa Anual de Aplicación del Fondo;</w:t>
      </w:r>
    </w:p>
    <w:p w14:paraId="110EC3FB" w14:textId="77777777" w:rsidR="003661CD" w:rsidRDefault="003661CD" w:rsidP="003661CD">
      <w:pPr>
        <w:pStyle w:val="Prrafodelista"/>
        <w:numPr>
          <w:ilvl w:val="0"/>
          <w:numId w:val="3"/>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Suficiencia presupuestaria: La disponibilidad de recursos financieros para el cumplimiento de los objetivos del Fondo;</w:t>
      </w:r>
    </w:p>
    <w:p w14:paraId="7E811F6A" w14:textId="77777777" w:rsidR="003661CD" w:rsidRPr="009B34CB" w:rsidRDefault="003661CD" w:rsidP="003661CD">
      <w:pPr>
        <w:pStyle w:val="Prrafodelista"/>
        <w:numPr>
          <w:ilvl w:val="0"/>
          <w:numId w:val="3"/>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 Gasto corriente: Las erogaciones destinadas a la operación ordinaria de la Auditoría Superior, incluyendo servicios personales subordinados, sueldos, salarios, compensaciones, prestaciones, gastos administrativos recurrentes y demás conceptos necesarios para el funcionamiento regular de la institución</w:t>
      </w:r>
      <w:r w:rsidRPr="009B34CB">
        <w:rPr>
          <w:rFonts w:ascii="Poppins" w:eastAsia="Poppins" w:hAnsi="Poppins" w:cs="Poppins"/>
          <w:color w:val="000000"/>
          <w:u w:color="000000"/>
          <w:bdr w:val="nil"/>
          <w:lang w:eastAsia="es-MX"/>
          <w14:textOutline w14:w="0" w14:cap="flat" w14:cmpd="sng" w14:algn="ctr">
            <w14:noFill/>
            <w14:prstDash w14:val="solid"/>
            <w14:bevel/>
          </w14:textOutline>
        </w:rPr>
        <w:t>.</w:t>
      </w:r>
    </w:p>
    <w:p w14:paraId="3A9F1E4B"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559F599"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5</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Naturaleza del Fondo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672F9398"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El Fondo tiene el carácter de </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fondo </w:t>
      </w:r>
      <w:proofErr w:type="spellStart"/>
      <w:r>
        <w:rPr>
          <w:rFonts w:ascii="Poppins" w:eastAsia="Poppins" w:hAnsi="Poppins" w:cs="Poppins"/>
          <w:b/>
          <w:bCs/>
          <w:color w:val="000000"/>
          <w:u w:color="000000"/>
          <w:bdr w:val="nil"/>
          <w:lang w:val="es-ES" w:eastAsia="es-MX"/>
          <w14:textOutline w14:w="0" w14:cap="flat" w14:cmpd="sng" w14:algn="ctr">
            <w14:noFill/>
            <w14:prstDash w14:val="solid"/>
            <w14:bevel/>
          </w14:textOutline>
        </w:rPr>
        <w:t>finolista</w:t>
      </w:r>
      <w:proofErr w:type="spellEnd"/>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w:t>
      </w:r>
      <w:r>
        <w:rPr>
          <w:rFonts w:ascii="Poppins" w:eastAsia="Poppins" w:hAnsi="Poppins" w:cs="Poppins"/>
          <w:color w:val="000000"/>
          <w:u w:color="000000"/>
          <w:bdr w:val="nil"/>
          <w:lang w:val="es-ES" w:eastAsia="es-MX"/>
          <w14:textOutline w14:w="0" w14:cap="flat" w14:cmpd="sng" w14:algn="ctr">
            <w14:noFill/>
            <w14:prstDash w14:val="solid"/>
            <w14:bevel/>
          </w14:textOutline>
        </w:rPr>
        <w:t>por lo que los recursos únicamente podrán destinarse a los fines expresamente previstos en la Ley y en los presentes Lineamientos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15FB08C2"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lastRenderedPageBreak/>
        <w:t>Artículo 6</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r w:rsidRPr="00A958EB">
        <w:rPr>
          <w:rFonts w:ascii="Poppins" w:eastAsia="Poppins" w:hAnsi="Poppins" w:cs="Poppins"/>
          <w:b/>
          <w:bCs/>
          <w:color w:val="000000"/>
          <w:u w:color="000000"/>
          <w:bdr w:val="nil"/>
          <w:lang w:val="es-ES" w:eastAsia="es-MX"/>
          <w14:textOutline w14:w="0" w14:cap="flat" w14:cmpd="sng" w14:algn="ctr">
            <w14:noFill/>
            <w14:prstDash w14:val="solid"/>
            <w14:bevel/>
          </w14:textOutline>
        </w:rPr>
        <w:t>Principios rectores</w:t>
      </w:r>
    </w:p>
    <w:p w14:paraId="5A8BA6C2"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 administración y ejercicio del Fondo se regirá por los principios de legalidad, eficiencia, eficacia, economía, transparencia y rendición de cuentas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3A8947BA"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F918FF3" w14:textId="77777777" w:rsidR="003661CD" w:rsidRPr="005A7F40" w:rsidRDefault="003661CD" w:rsidP="003661CD">
      <w:pPr>
        <w:pStyle w:val="NormalExtraBold"/>
        <w:rPr>
          <w:u w:color="000000"/>
          <w:bdr w:val="nil"/>
          <w:lang w:eastAsia="es-MX"/>
        </w:rPr>
      </w:pPr>
      <w:r>
        <w:rPr>
          <w:u w:color="000000"/>
          <w:bdr w:val="nil"/>
          <w:lang w:eastAsia="es-MX"/>
        </w:rPr>
        <w:t>Capítulo II</w:t>
      </w:r>
    </w:p>
    <w:p w14:paraId="4E4C2DE6" w14:textId="77777777" w:rsidR="003661CD" w:rsidRPr="00A958EB" w:rsidRDefault="003661CD" w:rsidP="003661CD">
      <w:pPr>
        <w:pStyle w:val="NormalExtraBold"/>
        <w:rPr>
          <w:u w:color="000000"/>
          <w:bdr w:val="nil"/>
          <w:lang w:eastAsia="es-MX"/>
        </w:rPr>
      </w:pPr>
      <w:r>
        <w:rPr>
          <w:u w:color="000000"/>
          <w:bdr w:val="nil"/>
          <w:lang w:eastAsia="es-MX"/>
        </w:rPr>
        <w:t>De la Integración y Administración del Fondo</w:t>
      </w:r>
    </w:p>
    <w:p w14:paraId="5B89BB7A"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DEA18E0" w14:textId="77777777" w:rsidR="003661CD"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7</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Integración del Fondo</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w:t>
      </w:r>
    </w:p>
    <w:p w14:paraId="28C9363F"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El Fondo se Integrará con:</w:t>
      </w:r>
    </w:p>
    <w:p w14:paraId="4A32E5CE" w14:textId="77777777" w:rsidR="003661CD" w:rsidRDefault="003661CD" w:rsidP="003661CD">
      <w:pPr>
        <w:pStyle w:val="Prrafodelista"/>
        <w:numPr>
          <w:ilvl w:val="0"/>
          <w:numId w:val="4"/>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Los recursos provenientes de las multas y sanciones económicas impuestas por la Auditoría Superior que se haga efectivas;</w:t>
      </w:r>
    </w:p>
    <w:p w14:paraId="1DA6DE4A" w14:textId="77777777" w:rsidR="003661CD" w:rsidRDefault="003661CD" w:rsidP="003661CD">
      <w:pPr>
        <w:pStyle w:val="Prrafodelista"/>
        <w:numPr>
          <w:ilvl w:val="0"/>
          <w:numId w:val="4"/>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Los rendimientos financieros que se generen por la inversión de dichos recursos; y</w:t>
      </w:r>
    </w:p>
    <w:p w14:paraId="25AA772E" w14:textId="77777777" w:rsidR="003661CD" w:rsidRPr="00A958EB" w:rsidRDefault="003661CD" w:rsidP="003661CD">
      <w:pPr>
        <w:pStyle w:val="Prrafodelista"/>
        <w:numPr>
          <w:ilvl w:val="0"/>
          <w:numId w:val="4"/>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Los demás ingresos previstos en la legislación aplicable</w:t>
      </w:r>
      <w:r w:rsidRPr="00A958EB">
        <w:rPr>
          <w:rFonts w:ascii="Poppins" w:eastAsia="Poppins" w:hAnsi="Poppins" w:cs="Poppins"/>
          <w:color w:val="000000"/>
          <w:u w:color="000000"/>
          <w:bdr w:val="nil"/>
          <w:lang w:eastAsia="es-MX"/>
          <w14:textOutline w14:w="0" w14:cap="flat" w14:cmpd="sng" w14:algn="ctr">
            <w14:noFill/>
            <w14:prstDash w14:val="solid"/>
            <w14:bevel/>
          </w14:textOutline>
        </w:rPr>
        <w:t>.</w:t>
      </w:r>
    </w:p>
    <w:p w14:paraId="17AADF54"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11465529"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8</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Administración del Fondo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523DCFD9"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 administración del Fondo estará a cargo de la persona titular de la Auditoría Superior, quien será responsable de su manejo, ejercicio y control, conforme a la Ley y a los presentes Lineamientos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285B9C63"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D8B52A9"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9</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Cuenta bancaria del Fondo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44EF0F49"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recursos que Integren el Fondo deberán depositarse en una cuenta bancaria especifica, contratada conforme a las disposiciones legales aplicables.</w:t>
      </w:r>
    </w:p>
    <w:p w14:paraId="222A40F5"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A0ABDE3"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rendimientos financieros que se generen formarán parte del Fondo y deberán capitalizarse para los fines previstos en la Ley y en los presentes Lineamientos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192380DD"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2135822"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10</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Rendimientos financieros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3B28CC85" w14:textId="77777777" w:rsidR="003661CD" w:rsidRPr="00B81293"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intereses y rendimientos que se generen deberán capitalizarse e integrarse al Fondo</w:t>
      </w:r>
      <w:r w:rsidRPr="00B81293">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273ADEB1"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87DE4A6" w14:textId="77777777" w:rsidR="003661CD" w:rsidRPr="005A7F40" w:rsidRDefault="003661CD" w:rsidP="003661CD">
      <w:pPr>
        <w:pStyle w:val="NormalExtraBold"/>
        <w:rPr>
          <w:u w:color="000000"/>
          <w:bdr w:val="nil"/>
          <w:lang w:val="es-ES" w:eastAsia="es-MX"/>
        </w:rPr>
      </w:pPr>
      <w:r w:rsidRPr="005A7F40">
        <w:rPr>
          <w:u w:color="000000"/>
          <w:bdr w:val="nil"/>
          <w:lang w:val="es-ES" w:eastAsia="es-MX"/>
        </w:rPr>
        <w:t xml:space="preserve">Capítulo </w:t>
      </w:r>
      <w:r>
        <w:rPr>
          <w:u w:color="000000"/>
          <w:bdr w:val="nil"/>
          <w:lang w:val="es-ES" w:eastAsia="es-MX"/>
        </w:rPr>
        <w:t>III</w:t>
      </w:r>
    </w:p>
    <w:p w14:paraId="30B97E8F" w14:textId="77777777" w:rsidR="003661CD" w:rsidRPr="008D06A8" w:rsidRDefault="003661CD" w:rsidP="003661CD">
      <w:pPr>
        <w:pStyle w:val="NormalExtraBold"/>
        <w:rPr>
          <w:u w:color="000000"/>
          <w:bdr w:val="nil"/>
          <w:lang w:val="es-ES" w:eastAsia="es-MX"/>
        </w:rPr>
      </w:pPr>
      <w:r>
        <w:rPr>
          <w:u w:color="000000"/>
          <w:bdr w:val="nil"/>
          <w:lang w:val="es-ES" w:eastAsia="es-MX"/>
        </w:rPr>
        <w:t>Del Destino, Ejercicio y Programación de los Recursos del Fondo</w:t>
      </w:r>
    </w:p>
    <w:p w14:paraId="57390E03" w14:textId="77777777" w:rsidR="003661CD" w:rsidRPr="00A80458"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2DB6FAB" w14:textId="77777777" w:rsidR="003661CD"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11</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Conceptos y acciones susceptibles de financiamiento</w:t>
      </w:r>
    </w:p>
    <w:p w14:paraId="7757C025"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recursos del Fondo podrán destinarse, de manera enunciativa más no limitativas, a los conceptos y acciones vinculados con los objetivos en el artículo 107 de la Ley, conforme a lo siguiente</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7C734127"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C975CCB" w14:textId="77777777" w:rsidR="003661CD" w:rsidRDefault="003661CD" w:rsidP="003661CD">
      <w:pPr>
        <w:pStyle w:val="Prrafodelista"/>
        <w:numPr>
          <w:ilvl w:val="0"/>
          <w:numId w:val="5"/>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Para el cumplimiento del objetivo relativo a realizar programas de capacitación al personal de la Auditoría Superior, así como a las Entidades Fiscalizables, podrán destinarse recursos a:</w:t>
      </w:r>
    </w:p>
    <w:p w14:paraId="05CFB9AE"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lastRenderedPageBreak/>
        <w:t>Cursos, talleres, seminarios, diplomados, conferencias, certificaciones, jornadas de capacitación y demás actividades de profesionalización;</w:t>
      </w:r>
    </w:p>
    <w:p w14:paraId="0D130B46"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Contratación de personas instructoras, ponentes, capacitadoras, asesores o especialistas;</w:t>
      </w:r>
    </w:p>
    <w:p w14:paraId="2EA445B6"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Elaboración, adquisición, impresión, reproducción y difusión de materiales didácticos, manuales, guías, cuadernillos, infografías y demás herramientas de apoyo para la capacitación;</w:t>
      </w:r>
    </w:p>
    <w:p w14:paraId="6F132351"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Desarrollo, adquisición o licenciamiento de plataformas tecnológicas y recursos informáticos destinados a actividades de capacitación;</w:t>
      </w:r>
    </w:p>
    <w:p w14:paraId="4C3ED036"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Organización y realización de foros, mesas de trabajo, encuentros, congresos, actividades académicas y eventos institucionales relacionados con fiscalización, transparencia y rendición de cuentas;</w:t>
      </w:r>
    </w:p>
    <w:p w14:paraId="20C69623"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Servicios profesionales especializados necesarios para el desarrollo de las actividades de capacitación;</w:t>
      </w:r>
    </w:p>
    <w:p w14:paraId="7D7A937A"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Materiales, insumos y apoyos logísticos estrictamente necesarios para el desarrollo de las actividades de capacitación; y </w:t>
      </w:r>
    </w:p>
    <w:p w14:paraId="6278BC8F"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Bienes muebles, equipo tecnológico, audiovisual, informático, bibliográfico y demás herramientas necesarias para el desarrollo de programas de capacitación, fortalecimiento institucional, fiscalización, transparencia y rendición de cuentas, siempre que su adquisición se encuentre debidamente justificada y vinculada con los objetivos del Fondo.</w:t>
      </w:r>
    </w:p>
    <w:p w14:paraId="4CE6A2EC" w14:textId="77777777" w:rsidR="003661CD" w:rsidRDefault="003661CD" w:rsidP="003661CD">
      <w:pPr>
        <w:pStyle w:val="Prrafodelista"/>
        <w:numPr>
          <w:ilvl w:val="0"/>
          <w:numId w:val="6"/>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Los demás conceptos que resulten necesarios siempre que se encuentren directamente vinculados con el fin del Fondo y no constituya gasto corriente prohibido por la Ley.</w:t>
      </w:r>
    </w:p>
    <w:p w14:paraId="470523EE"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2B404664" w14:textId="77777777" w:rsidR="003661CD" w:rsidRDefault="003661CD" w:rsidP="003661CD">
      <w:pPr>
        <w:pStyle w:val="Prrafodelista"/>
        <w:numPr>
          <w:ilvl w:val="0"/>
          <w:numId w:val="5"/>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Para el cumplimiento del objetivo relativo a promover e impulsar programas que fortalezcan la fiscalización, la cultura de transparencia y rendición de cuentas:</w:t>
      </w:r>
    </w:p>
    <w:p w14:paraId="5BD93781" w14:textId="77777777" w:rsidR="003661CD" w:rsidRDefault="003661CD" w:rsidP="003661CD">
      <w:pPr>
        <w:pStyle w:val="Prrafodelista"/>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37332D26"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Acciones orientadas al fortalecimiento técnico, operativo y metodológico de las actividades de fiscalización; </w:t>
      </w:r>
    </w:p>
    <w:p w14:paraId="4157EA1D"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Actividades de difusión, promoción y fortalecimiento de la cultura de transparencia, integridad, rendición de cuentas y participación ciudadana;</w:t>
      </w:r>
    </w:p>
    <w:p w14:paraId="64BD362C"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Software especializado, licencias, plataformas tecnológicas y herramientas digitales orientados o actividades de auditoría, fiscalización, análisis de datos, seguimiento, control, transparencia y rendición de cuentas;</w:t>
      </w:r>
    </w:p>
    <w:p w14:paraId="49D41571"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Equipo tecnológico e informático necesario   para el desarrollo de actividades de fiscalización, incluyendo equipo de cómputo especializado, tables electrónicas, escáneres, proyectores, almacenamiento digital y herramientas para procesamiento de información;</w:t>
      </w:r>
    </w:p>
    <w:p w14:paraId="6847799F"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lastRenderedPageBreak/>
        <w:t>Sistemas de gestión documental, digitalización, resguardo, consulta y administración de información relacionada con procesos de auditoría y fiscalización;</w:t>
      </w:r>
    </w:p>
    <w:p w14:paraId="1911C658"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Herramientas metodológicas, técnicas y de análisis para la mejora de procesos de auditoría, evaluación, seguimiento y control institucional;</w:t>
      </w:r>
    </w:p>
    <w:p w14:paraId="59F2E1ED" w14:textId="77777777" w:rsidR="003661CD" w:rsidRPr="00755ADE"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Material bibliográfico, técnico, normativo y especializado en materias relacionadas con fiscalización, auditoría gubernamental, transparencia, responsabilidades administrativas, combate a la corrupción y rendición de </w:t>
      </w:r>
      <w:r w:rsidRPr="00755ADE">
        <w:rPr>
          <w:rFonts w:ascii="Poppins" w:eastAsia="Poppins" w:hAnsi="Poppins" w:cs="Poppins"/>
          <w:color w:val="000000"/>
          <w:u w:color="000000"/>
          <w:bdr w:val="nil"/>
          <w:lang w:eastAsia="es-MX"/>
          <w14:textOutline w14:w="0" w14:cap="flat" w14:cmpd="sng" w14:algn="ctr">
            <w14:noFill/>
            <w14:prstDash w14:val="solid"/>
            <w14:bevel/>
          </w14:textOutline>
        </w:rPr>
        <w:t>cuentas;</w:t>
      </w:r>
    </w:p>
    <w:p w14:paraId="55D237A2"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755ADE">
        <w:rPr>
          <w:rFonts w:ascii="Poppins" w:eastAsia="Poppins" w:hAnsi="Poppins" w:cs="Poppins"/>
          <w:color w:val="000000"/>
          <w:u w:color="000000"/>
          <w:bdr w:val="nil"/>
          <w:lang w:eastAsia="es-MX"/>
          <w14:textOutline w14:w="0" w14:cap="flat" w14:cmpd="sng" w14:algn="ctr">
            <w14:noFill/>
            <w14:prstDash w14:val="solid"/>
            <w14:bevel/>
          </w14:textOutline>
        </w:rPr>
        <w:t xml:space="preserve"> </w:t>
      </w:r>
      <w:r>
        <w:rPr>
          <w:rFonts w:ascii="Poppins" w:eastAsia="Poppins" w:hAnsi="Poppins" w:cs="Poppins"/>
          <w:color w:val="000000"/>
          <w:u w:color="000000"/>
          <w:bdr w:val="nil"/>
          <w:lang w:eastAsia="es-MX"/>
          <w14:textOutline w14:w="0" w14:cap="flat" w14:cmpd="sng" w14:algn="ctr">
            <w14:noFill/>
            <w14:prstDash w14:val="solid"/>
            <w14:bevel/>
          </w14:textOutline>
        </w:rPr>
        <w:t>Servicios profesionales, asesorías técnicas y asistencia especializada orientadas al fortalecimiento institucional y modernización de los procesos de fiscalización;</w:t>
      </w:r>
    </w:p>
    <w:p w14:paraId="7CAD2953"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Servicios profesionales especializados necesarios para el fortalecimiento de la fiscalización superior;</w:t>
      </w:r>
    </w:p>
    <w:p w14:paraId="1A174F70"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Acciones de innovación, modernización y mejora continua de los procesos sustantivos de fiscalización;</w:t>
      </w:r>
    </w:p>
    <w:p w14:paraId="0B4F3FF3" w14:textId="77777777" w:rsidR="003661CD"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 Vehículos utilitarios estrictamente indispensable para el desarrollo de actividades sustantivas de fiscalización, verificación, inspección, supervisión y seguimiento en campo, siempre que su adquisición se encuentre plenamente justificada, vinculada con los fines del Fondo y sujeta a la disponibilidad presupuestarla correspondiente.</w:t>
      </w:r>
    </w:p>
    <w:p w14:paraId="7A5512F5" w14:textId="77777777" w:rsidR="003661CD" w:rsidRPr="00755ADE" w:rsidRDefault="003661CD" w:rsidP="003661CD">
      <w:pPr>
        <w:pStyle w:val="Prrafodelista"/>
        <w:numPr>
          <w:ilvl w:val="0"/>
          <w:numId w:val="7"/>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Los demás conceptos que resulten necesarios siempre que se encuentren directamente vinculados con el fin del Fondo y no constituya gasto corriente prohibido por la Ley.  </w:t>
      </w:r>
    </w:p>
    <w:p w14:paraId="2CC53E5C"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25F624EB"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Queda prohibida la adquisición de bienes que constituyan gasto corriente ordinario, equipamiento administrativo general o adquisiciones no relacionadas directamente con los objetivos del Fondo.</w:t>
      </w:r>
    </w:p>
    <w:p w14:paraId="6EF30883" w14:textId="77777777" w:rsidR="003661CD" w:rsidRPr="008000BA" w:rsidRDefault="003661CD" w:rsidP="003661CD">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7C9A6BD1"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12</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Prohibiciones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4B273639"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Queda estrictamente prohibido destinar los recursos del Fondo a</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3A5807F1"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E357D38" w14:textId="77777777" w:rsidR="003661CD" w:rsidRDefault="003661CD" w:rsidP="003661CD">
      <w:pPr>
        <w:pStyle w:val="Prrafodelista"/>
        <w:numPr>
          <w:ilvl w:val="0"/>
          <w:numId w:val="8"/>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D93645">
        <w:rPr>
          <w:rFonts w:ascii="Poppins" w:eastAsia="Poppins" w:hAnsi="Poppins" w:cs="Poppins"/>
          <w:color w:val="000000"/>
          <w:u w:color="000000"/>
          <w:bdr w:val="nil"/>
          <w:lang w:eastAsia="es-MX"/>
          <w14:textOutline w14:w="0" w14:cap="flat" w14:cmpd="sng" w14:algn="ctr">
            <w14:noFill/>
            <w14:prstDash w14:val="solid"/>
            <w14:bevel/>
          </w14:textOutline>
        </w:rPr>
        <w:t>Gasto corriente;</w:t>
      </w:r>
    </w:p>
    <w:p w14:paraId="4511B0EC" w14:textId="77777777" w:rsidR="003661CD" w:rsidRDefault="003661CD" w:rsidP="003661CD">
      <w:pPr>
        <w:pStyle w:val="Prrafodelista"/>
        <w:numPr>
          <w:ilvl w:val="0"/>
          <w:numId w:val="8"/>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Pago de sueldos, salarios, compensaciones o prestaciones ordinarias; y</w:t>
      </w:r>
    </w:p>
    <w:p w14:paraId="52BD36EF" w14:textId="77777777" w:rsidR="003661CD" w:rsidRPr="00D93645" w:rsidRDefault="003661CD" w:rsidP="003661CD">
      <w:pPr>
        <w:pStyle w:val="Prrafodelista"/>
        <w:numPr>
          <w:ilvl w:val="0"/>
          <w:numId w:val="8"/>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Cualquier fin destinado a los previsto en la Ley y en los presentes Lineamientos</w:t>
      </w:r>
      <w:r w:rsidRPr="00D93645">
        <w:rPr>
          <w:rFonts w:ascii="Poppins" w:eastAsia="Poppins" w:hAnsi="Poppins" w:cs="Poppins"/>
          <w:color w:val="000000"/>
          <w:u w:color="000000"/>
          <w:bdr w:val="nil"/>
          <w:lang w:eastAsia="es-MX"/>
          <w14:textOutline w14:w="0" w14:cap="flat" w14:cmpd="sng" w14:algn="ctr">
            <w14:noFill/>
            <w14:prstDash w14:val="solid"/>
            <w14:bevel/>
          </w14:textOutline>
        </w:rPr>
        <w:t>.</w:t>
      </w:r>
    </w:p>
    <w:p w14:paraId="3FF14990"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69FF1E1"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13</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Procesos de adquisición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610F1309"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procesos de adquisición de bienes, arrendamientos y contratación de servicios que se realicen con recursos del Fondo deberán llevarse a cabo con forme a la Ley de Adquisiciones, Enajenaciones, Arrendamientos, Prestación de Servicios y Administración de Bines Muebles e Inmuebles del Estado de Oaxaca, así como a las demás disposiciones en la materia</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1A5A395B"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2571FEB"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En todo caso, dichos procesos deberán sujetarse a los principios de economía, eficiencia, eficacia, transparencia y honradez.</w:t>
      </w:r>
    </w:p>
    <w:p w14:paraId="72B842B3" w14:textId="77777777" w:rsidR="003661CD" w:rsidRPr="005A7F40" w:rsidRDefault="003661CD" w:rsidP="003661CD">
      <w:pPr>
        <w:pStyle w:val="NormalExtraBold"/>
        <w:rPr>
          <w:u w:color="000000"/>
          <w:bdr w:val="nil"/>
          <w:lang w:val="es-ES" w:eastAsia="es-MX"/>
        </w:rPr>
      </w:pPr>
      <w:r w:rsidRPr="005A7F40">
        <w:rPr>
          <w:u w:color="000000"/>
          <w:bdr w:val="nil"/>
          <w:lang w:val="es-ES" w:eastAsia="es-MX"/>
        </w:rPr>
        <w:lastRenderedPageBreak/>
        <w:t xml:space="preserve">Capítulo </w:t>
      </w:r>
      <w:r>
        <w:rPr>
          <w:u w:color="000000"/>
          <w:bdr w:val="nil"/>
          <w:lang w:val="es-ES" w:eastAsia="es-MX"/>
        </w:rPr>
        <w:t>IV</w:t>
      </w:r>
    </w:p>
    <w:p w14:paraId="21E3B46E" w14:textId="77777777" w:rsidR="003661CD" w:rsidRDefault="003661CD" w:rsidP="003661CD">
      <w:pPr>
        <w:pStyle w:val="NormalExtraBold"/>
        <w:rPr>
          <w:u w:color="000000"/>
          <w:bdr w:val="nil"/>
          <w:lang w:val="es-ES" w:eastAsia="es-MX"/>
        </w:rPr>
      </w:pPr>
      <w:r>
        <w:rPr>
          <w:u w:color="000000"/>
          <w:bdr w:val="nil"/>
          <w:lang w:val="es-ES" w:eastAsia="es-MX"/>
        </w:rPr>
        <w:t>De la Planeación y Propuesta de Programas</w:t>
      </w:r>
    </w:p>
    <w:p w14:paraId="378DACEA" w14:textId="77777777" w:rsidR="003661CD" w:rsidRPr="005A7F40" w:rsidRDefault="003661CD" w:rsidP="003661CD">
      <w:pPr>
        <w:pBdr>
          <w:top w:val="nil"/>
          <w:left w:val="nil"/>
          <w:bottom w:val="nil"/>
          <w:right w:val="nil"/>
          <w:between w:val="nil"/>
          <w:bar w:val="nil"/>
        </w:pBdr>
        <w:jc w:val="cente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12F5563"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14</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Propuesta de Programas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1FEBA2A4"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Las propuestas de programas, proyectos o acciones a financiarse con recursos del Fondo deberán ser formulados por áreas administrativas competentes de la Auditoría Superior, conforme a sus atribuciones.</w:t>
      </w:r>
    </w:p>
    <w:p w14:paraId="2DCB21BB"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4D9C698"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para tal efecto, la Dirección Administrativa de la Auditoría Superior proporcionará los formatos oficiales que deberán utilizarse para la prestación de dichos propuestos.   </w:t>
      </w:r>
    </w:p>
    <w:p w14:paraId="11A48FE3"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130A2B2"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15</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Canalización de propuesta</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71DE7F72"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Las propuestas serán presentadas a la persona titular de la Auditoría Superior, quien, en su carácter de presidenta o presidente del Comité Técnico, las someterá a consideración de dicho órgano para su análisis y, en su caso, validación.</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7FCC311F" w14:textId="77777777" w:rsidR="003661CD" w:rsidRPr="00A80458"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57856414" w14:textId="77777777" w:rsidR="003661CD"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16</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Necesidades de Entidades Fiscalizables</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w:t>
      </w:r>
    </w:p>
    <w:p w14:paraId="335D29CF"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Las Entidades Fiscalizables podrán ser del conocimiento de la Auditoría Superior sus necesidades de capacitación, las cuales podrán ser consideradas por el área técnica componente para la integración de presupuestos, programas o acciones susceptibles de financiarse con recursos del Fondo, siempre que exista suficiencia presupuestal</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1819BC2C"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E54B2E3"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17</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Programa Anual de Aplicación del Fondo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025F6C36"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El Fondo se ejercerá conforme al Programa Anual.</w:t>
      </w:r>
    </w:p>
    <w:p w14:paraId="21C6FA82"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9850B1E"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18</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Necesidades de Entidades Fiscalizables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30087017"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Con base en las propuestas validadas por el Comité Técnico, el Programa será elaborado por la Dirección Administrativa de la Auditoría Superior, bajo la conducción de la persona titular de la Auditoría Superior, con base en los insumos técnicos que proporcionen las áreas competentes, y será sometido a la consideración del Comité Técnico para su análisis y, en su caso, validación.</w:t>
      </w:r>
    </w:p>
    <w:p w14:paraId="4EC0F54D"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B8F67BC" w14:textId="77777777" w:rsidR="003661CD" w:rsidRPr="005A7F40" w:rsidRDefault="003661CD" w:rsidP="003661CD">
      <w:pPr>
        <w:pStyle w:val="NormalExtraBold"/>
        <w:rPr>
          <w:u w:color="000000"/>
          <w:bdr w:val="nil"/>
          <w:lang w:eastAsia="es-MX"/>
        </w:rPr>
      </w:pPr>
      <w:r w:rsidRPr="005A7F40">
        <w:rPr>
          <w:u w:color="000000"/>
          <w:bdr w:val="nil"/>
          <w:lang w:eastAsia="es-MX"/>
        </w:rPr>
        <w:t xml:space="preserve">Capítulo </w:t>
      </w:r>
      <w:r>
        <w:rPr>
          <w:u w:color="000000"/>
          <w:bdr w:val="nil"/>
          <w:lang w:eastAsia="es-MX"/>
        </w:rPr>
        <w:t>V</w:t>
      </w:r>
    </w:p>
    <w:p w14:paraId="278B6C31" w14:textId="77777777" w:rsidR="003661CD" w:rsidRPr="005A7F40" w:rsidRDefault="003661CD" w:rsidP="003661CD">
      <w:pPr>
        <w:pStyle w:val="NormalExtraBold"/>
        <w:rPr>
          <w:u w:color="000000"/>
          <w:bdr w:val="nil"/>
          <w:lang w:val="es-ES" w:eastAsia="es-MX"/>
        </w:rPr>
      </w:pPr>
      <w:r>
        <w:rPr>
          <w:u w:color="000000"/>
          <w:bdr w:val="nil"/>
          <w:lang w:val="es-ES" w:eastAsia="es-MX"/>
        </w:rPr>
        <w:t>Del Comité Técnico del Fondo para el Fortalecimiento de la Fiscalización</w:t>
      </w:r>
    </w:p>
    <w:p w14:paraId="2AC265EC"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ECCEB91"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19</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Creación del Comité Técnico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16761BE7"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Se crea el Comité Técnico del Fondo para el Fortalecimiento de la Fiscalización como un órgano colegiado de carácter técnico y de apoyo, encargado de coadyuvar en la planeación, validación y seguimiento del ejercicio de los recursos del Fondo. </w:t>
      </w:r>
    </w:p>
    <w:p w14:paraId="4C193B11"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EFBE652"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lastRenderedPageBreak/>
        <w:t>Artículo 20</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Naturaleza del Comité Técnico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20BFCE41"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El Comité Técnico no constituirá una unidad administrativa ni generará estructura orgánica adicional, y su actuación no sustituya ni limita las facultades que la Ley confiere a la persona titular de la Auditoría Superior</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79584DD4"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BAEC363"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21</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Integración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0A8A9318"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El Comité Técnico estará integrado por:</w:t>
      </w:r>
    </w:p>
    <w:p w14:paraId="0139C94D"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0EC50B0" w14:textId="77777777" w:rsidR="003661CD"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persona titular de la Auditoría Superior, quien lo presidirá y tendrá voto de calidad;</w:t>
      </w:r>
    </w:p>
    <w:p w14:paraId="24E02EE1" w14:textId="77777777" w:rsidR="003661CD"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persona titular de la Unidad de Asuntos Jurídicos, con voz y voto;</w:t>
      </w:r>
    </w:p>
    <w:p w14:paraId="477342E5" w14:textId="77777777" w:rsidR="003661CD"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persona titular de la Unidad de Planeación y Obligaciones, con voz y voto;</w:t>
      </w:r>
    </w:p>
    <w:p w14:paraId="2BDA2286" w14:textId="77777777" w:rsidR="003661CD"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persona titular de la Dirección de Auditoría Municipal “B”, con voz y voto;</w:t>
      </w:r>
    </w:p>
    <w:p w14:paraId="6A6B29DF" w14:textId="77777777" w:rsidR="003661CD"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persona titular de la Dirección de Auditoría Estatal “A”, con voz y voto;</w:t>
      </w:r>
    </w:p>
    <w:p w14:paraId="2C323CE2" w14:textId="77777777" w:rsidR="003661CD"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persona titular de la Dirección de Investigación Municipal, con voz y voto;</w:t>
      </w:r>
    </w:p>
    <w:p w14:paraId="1E568105" w14:textId="77777777" w:rsidR="003661CD"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persona titular de la Dirección de Tecnologías de la Información y Comunicaciones, con voz t voto.</w:t>
      </w:r>
    </w:p>
    <w:p w14:paraId="77A06B43" w14:textId="77777777" w:rsidR="003661CD"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persona titular del área responsable de las capacitaciones, con voz y voto;</w:t>
      </w:r>
    </w:p>
    <w:p w14:paraId="603FF05C" w14:textId="77777777" w:rsidR="003661CD" w:rsidRPr="00797810" w:rsidRDefault="003661CD" w:rsidP="003661CD">
      <w:pPr>
        <w:pStyle w:val="Prrafodelista"/>
        <w:numPr>
          <w:ilvl w:val="0"/>
          <w:numId w:val="9"/>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Una Secretaría Técnica, que recaerá en la persona Titular de la Dirección Administrativa, quienes participará con voz, pero sin voto.</w:t>
      </w:r>
    </w:p>
    <w:p w14:paraId="0FF4DF8D" w14:textId="77777777" w:rsidR="003661CD" w:rsidRPr="00A80458"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030EDCD"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22</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Facultades del Comité Técnico</w:t>
      </w: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301FB98D"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Corresponde al Comité Técnico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4C1E1529"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91EB5EA" w14:textId="77777777" w:rsidR="003661CD" w:rsidRDefault="003661CD" w:rsidP="003661CD">
      <w:pPr>
        <w:pStyle w:val="Prrafodelista"/>
        <w:numPr>
          <w:ilvl w:val="0"/>
          <w:numId w:val="10"/>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Validar el Programa Anual;</w:t>
      </w:r>
    </w:p>
    <w:p w14:paraId="6A359AB0" w14:textId="77777777" w:rsidR="003661CD" w:rsidRDefault="003661CD" w:rsidP="003661CD">
      <w:pPr>
        <w:pStyle w:val="Prrafodelista"/>
        <w:numPr>
          <w:ilvl w:val="0"/>
          <w:numId w:val="10"/>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Analizar y validar las propuestas de programas y acciones;</w:t>
      </w:r>
    </w:p>
    <w:p w14:paraId="257C331F" w14:textId="77777777" w:rsidR="003661CD" w:rsidRDefault="003661CD" w:rsidP="003661CD">
      <w:pPr>
        <w:pStyle w:val="Prrafodelista"/>
        <w:numPr>
          <w:ilvl w:val="0"/>
          <w:numId w:val="10"/>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Verificar que los recursos no se destinen a gasto corriente;</w:t>
      </w:r>
    </w:p>
    <w:p w14:paraId="28C1F64B" w14:textId="77777777" w:rsidR="003661CD" w:rsidRDefault="003661CD" w:rsidP="003661CD">
      <w:pPr>
        <w:pStyle w:val="Prrafodelista"/>
        <w:numPr>
          <w:ilvl w:val="0"/>
          <w:numId w:val="10"/>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Dar seguimiento al ejercicio y resultados del Fondo; y </w:t>
      </w:r>
    </w:p>
    <w:p w14:paraId="34126068" w14:textId="77777777" w:rsidR="003661CD" w:rsidRPr="006564DC" w:rsidRDefault="003661CD" w:rsidP="003661CD">
      <w:pPr>
        <w:pStyle w:val="Prrafodelista"/>
        <w:numPr>
          <w:ilvl w:val="0"/>
          <w:numId w:val="10"/>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Conocer y validar el informe anual que se rinda a la Comisión correspondiente.</w:t>
      </w:r>
    </w:p>
    <w:p w14:paraId="4009425C"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E438F53"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1" w:name="_Hlk173487214"/>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23</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Secretaría Técnica del Comité Técnico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40DE3D11"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 Secretaría Técnica del Comité Técnico del Fondo estará a cargo de la Dirección Administrativa de la Auditoría Superior, la cual fungirá como órgano de apoyo técnico y administrativo, y tendrá a su cargo las siguientes funciones:</w:t>
      </w:r>
    </w:p>
    <w:p w14:paraId="28D98DD1"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D226032" w14:textId="77777777" w:rsidR="003661CD" w:rsidRDefault="003661CD" w:rsidP="003661CD">
      <w:pPr>
        <w:pStyle w:val="Prrafodelista"/>
        <w:numPr>
          <w:ilvl w:val="0"/>
          <w:numId w:val="11"/>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Convocar, por instrucción de la Presidencia, a las sesiones del Comité Técnico;</w:t>
      </w:r>
    </w:p>
    <w:p w14:paraId="6AD12CC3" w14:textId="77777777" w:rsidR="003661CD" w:rsidRDefault="003661CD" w:rsidP="003661CD">
      <w:pPr>
        <w:pStyle w:val="Prrafodelista"/>
        <w:numPr>
          <w:ilvl w:val="0"/>
          <w:numId w:val="11"/>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Preparar y remitir el orden del día y la documentación de soporte;</w:t>
      </w:r>
    </w:p>
    <w:p w14:paraId="75AF236E" w14:textId="77777777" w:rsidR="003661CD" w:rsidRDefault="003661CD" w:rsidP="003661CD">
      <w:pPr>
        <w:pStyle w:val="Prrafodelista"/>
        <w:numPr>
          <w:ilvl w:val="0"/>
          <w:numId w:val="11"/>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Elaborar las actas de las sesiones y recabar las firmas correspondientes;</w:t>
      </w:r>
    </w:p>
    <w:p w14:paraId="5AEF370F" w14:textId="77777777" w:rsidR="003661CD" w:rsidRDefault="003661CD" w:rsidP="003661CD">
      <w:pPr>
        <w:pStyle w:val="Prrafodelista"/>
        <w:numPr>
          <w:ilvl w:val="0"/>
          <w:numId w:val="11"/>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Dar seguimiento a los acuerdos adoptados por el Comité Técnico;</w:t>
      </w:r>
    </w:p>
    <w:p w14:paraId="26201D48" w14:textId="77777777" w:rsidR="003661CD" w:rsidRDefault="003661CD" w:rsidP="003661CD">
      <w:pPr>
        <w:pStyle w:val="Prrafodelista"/>
        <w:numPr>
          <w:ilvl w:val="0"/>
          <w:numId w:val="11"/>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Integrar y resguardar la documentación relacionada con el Fondo;</w:t>
      </w:r>
    </w:p>
    <w:p w14:paraId="39101D09" w14:textId="77777777" w:rsidR="003661CD" w:rsidRPr="00BA343E" w:rsidRDefault="003661CD" w:rsidP="003661CD">
      <w:pPr>
        <w:pStyle w:val="Prrafodelista"/>
        <w:numPr>
          <w:ilvl w:val="0"/>
          <w:numId w:val="11"/>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lastRenderedPageBreak/>
        <w:t>Integrar y elaborar el informe de la aplicación del Fondo, que se presentará a la Comisión decisión o voto.</w:t>
      </w:r>
    </w:p>
    <w:bookmarkEnd w:id="1"/>
    <w:p w14:paraId="3A36BFDB"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16B0960"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24</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Suplencias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62539964"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integrantes del Comité Técnico, con excepción de la Presidencia, podrán designar a un suplente, quien deberá contar con nivel jerárquico inmediato inferior, con las facultades suficientes para participar en las sesiones, con los mismos derechos y obligaciones del titular</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3C307249"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99D3602"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 designación de suplentes deberá realizarse por escrito y mantenerse vigente en tanto no sea modificada.</w:t>
      </w:r>
    </w:p>
    <w:p w14:paraId="0F2DBC40"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89BAEB3"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25</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Obligaciones de las personas Integrantes del Comité Técnico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378A05DC"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Las personas integrantes del Comité Técnico tendrán las obligaciones siguientes:</w:t>
      </w:r>
    </w:p>
    <w:p w14:paraId="450F93ED"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1AABE1F" w14:textId="77777777" w:rsidR="003661CD" w:rsidRDefault="003661CD" w:rsidP="003661CD">
      <w:pPr>
        <w:pStyle w:val="Prrafodelista"/>
        <w:numPr>
          <w:ilvl w:val="0"/>
          <w:numId w:val="12"/>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Asistir a las sesiones del Comité Técnico y participar activamente en sus trabajos;</w:t>
      </w:r>
    </w:p>
    <w:p w14:paraId="0E4C68A2" w14:textId="77777777" w:rsidR="003661CD" w:rsidRDefault="003661CD" w:rsidP="003661CD">
      <w:pPr>
        <w:pStyle w:val="Prrafodelista"/>
        <w:numPr>
          <w:ilvl w:val="0"/>
          <w:numId w:val="12"/>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Analizar la información y documentación que se someta a su consideración;</w:t>
      </w:r>
    </w:p>
    <w:p w14:paraId="2456B944" w14:textId="77777777" w:rsidR="003661CD" w:rsidRDefault="003661CD" w:rsidP="003661CD">
      <w:pPr>
        <w:pStyle w:val="Prrafodelista"/>
        <w:numPr>
          <w:ilvl w:val="0"/>
          <w:numId w:val="12"/>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Emitir opiniones y recomendaciones con sustento técnico y jurídico;</w:t>
      </w:r>
    </w:p>
    <w:p w14:paraId="2E0E28D7" w14:textId="77777777" w:rsidR="003661CD" w:rsidRDefault="003661CD" w:rsidP="003661CD">
      <w:pPr>
        <w:pStyle w:val="Prrafodelista"/>
        <w:numPr>
          <w:ilvl w:val="0"/>
          <w:numId w:val="12"/>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Conducirse con imparcialidad y objetividad, evitando conflictos de interés;</w:t>
      </w:r>
    </w:p>
    <w:p w14:paraId="7041905A" w14:textId="77777777" w:rsidR="003661CD" w:rsidRDefault="003661CD" w:rsidP="003661CD">
      <w:pPr>
        <w:pStyle w:val="Prrafodelista"/>
        <w:numPr>
          <w:ilvl w:val="0"/>
          <w:numId w:val="12"/>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Guardar confidencialidad respecto de la información que conozca con motivo de su participación en el Comité Técnico;</w:t>
      </w:r>
    </w:p>
    <w:p w14:paraId="1E4BBB24" w14:textId="77777777" w:rsidR="003661CD" w:rsidRDefault="003661CD" w:rsidP="003661CD">
      <w:pPr>
        <w:pStyle w:val="Prrafodelista"/>
        <w:numPr>
          <w:ilvl w:val="0"/>
          <w:numId w:val="12"/>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Firmar las actas, acuerdos y demás documentos que se deriven de las sesiones; y </w:t>
      </w:r>
    </w:p>
    <w:p w14:paraId="5A572406" w14:textId="77777777" w:rsidR="003661CD" w:rsidRPr="00083837" w:rsidRDefault="003661CD" w:rsidP="003661CD">
      <w:pPr>
        <w:pStyle w:val="Prrafodelista"/>
        <w:numPr>
          <w:ilvl w:val="0"/>
          <w:numId w:val="12"/>
        </w:num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 xml:space="preserve">Dar seguimiento en el ámbito de sus atribuciones, a los acuerdos adoptados por el Comité Técnico. </w:t>
      </w:r>
    </w:p>
    <w:p w14:paraId="5C0DF31D" w14:textId="77777777" w:rsidR="003661CD" w:rsidRPr="00A80458"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E347FD2"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26</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Invitados a las sesiones del Comité Técnico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5F185E6C"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El Comité Técnico podrá invitar a sus sesiones a personas servidoras públicas de la Auditoría Superior o, en su caso, a personas especialistas externas, cuando por la naturaleza de los asuntos a tratar se requiera de su opinión técnica.</w:t>
      </w:r>
    </w:p>
    <w:p w14:paraId="44EB4BD9"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1C98BEB"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Las personas invitadas participarán, únicamente con voz y sin voto, y su Intervención se limitará a los temas para los cuales hayan sido convocados.</w:t>
      </w:r>
    </w:p>
    <w:p w14:paraId="7C095FCE"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EAD4CD6"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27</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Sesiones del Comité Técnico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29696FE8"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El Comité Técnico celebrará sesiones ordinarias y extraordinarias.</w:t>
      </w:r>
    </w:p>
    <w:p w14:paraId="4CF6D9AB"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5094C6A"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Las sesiones ordinarias se celebrarán al menos una vez cada trimestre, y las extraordinarias cuando la naturaleza de los asuntos a tratar así lo requiera, a convocatoria de la Presidencia del Comité Técnico.</w:t>
      </w:r>
    </w:p>
    <w:p w14:paraId="40C54970"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B9F19BD" w14:textId="77777777" w:rsidR="003661CD"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lastRenderedPageBreak/>
        <w:t>Artículo 28</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Convocatoria </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w:t>
      </w:r>
      <w:bookmarkStart w:id="2" w:name="_Hlk177577940"/>
    </w:p>
    <w:p w14:paraId="51AB4F83"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 convocatoria a las sesiones será realizada por la Secretaría Técnica, por instrucción de la Presidencia, y deberá acompañarse del orden del día y la documentación correspondiente en archivo digital, con una anticipación mínima de cinco días hábiles por las sesiones ordinarias y de cuarenta y ocho horas para las extraordinarias.</w:t>
      </w:r>
    </w:p>
    <w:bookmarkEnd w:id="2"/>
    <w:p w14:paraId="34162524"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09B93AB" w14:textId="77777777" w:rsidR="003661CD"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29</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Quórum y acuerdos </w:t>
      </w:r>
    </w:p>
    <w:p w14:paraId="7B7CECCC"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El quórum para sesionar válidamente se integrará con la asistencia de la mayoría de las personas integrantes con derecho a voto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02953A9C"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1F626C0"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acuerdos del Comité Técnico se tomarán por mayoría de votos de las personas integrantes presentes con derecho a voto y, en caso de empate, la Presidencia tendrá voto de calidad.</w:t>
      </w:r>
    </w:p>
    <w:p w14:paraId="4B395072"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0CFF4D6"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3" w:name="_Hlk173431740"/>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30</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Modalidad de las sesiones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74F0A442" w14:textId="77777777" w:rsidR="003661CD" w:rsidRPr="00103CE8"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Las sesiones del Comité Técnico podrán celebrarse de manera presencial o a través de medios electrónicos, siempre que se garantice la identificación de las personas participantes y la continuidad de la sesión.</w:t>
      </w:r>
    </w:p>
    <w:p w14:paraId="4EDA752E"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DCE53A2"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4" w:name="_Hlk173833533"/>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31</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Actas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5F6B333C"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De cada sesión se levantará acta circunstanciada, la cual será elaborada por la Secretaría Técnica y firmada por las personas integrantes que hayan participado.</w:t>
      </w:r>
    </w:p>
    <w:p w14:paraId="2E996648"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DF597B2" w14:textId="77777777" w:rsidR="003661CD"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5" w:name="_Hlk173490628"/>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32</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Carácter honorifico de los cargos</w:t>
      </w:r>
    </w:p>
    <w:p w14:paraId="61C962B3"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cargos que desempeñen las personas integrantes del Comité Técnico tendrán carácter honorifico, por lo que no generarán remuneración, compensación, emolumento o prestación adicional algunas, y su desempeño se realizará sin perjuicio de las funciones que, en su caso, tengan encomendadas conforme a sus atribuciones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bookmarkEnd w:id="5"/>
    </w:p>
    <w:bookmarkEnd w:id="3"/>
    <w:bookmarkEnd w:id="4"/>
    <w:p w14:paraId="05DC6178" w14:textId="77777777" w:rsidR="003661CD" w:rsidRPr="00A80458"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293F668" w14:textId="77777777" w:rsidR="003661CD" w:rsidRPr="005A7F40" w:rsidRDefault="003661CD" w:rsidP="003661CD">
      <w:pPr>
        <w:pStyle w:val="NormalExtraBold"/>
        <w:rPr>
          <w:u w:color="000000"/>
          <w:bdr w:val="nil"/>
          <w:lang w:eastAsia="es-MX"/>
        </w:rPr>
      </w:pPr>
      <w:bookmarkStart w:id="6" w:name="_Toc172284224"/>
      <w:r w:rsidRPr="005A7F40">
        <w:rPr>
          <w:u w:color="000000"/>
          <w:bdr w:val="nil"/>
          <w:lang w:eastAsia="es-MX"/>
        </w:rPr>
        <w:t xml:space="preserve">Capítulo </w:t>
      </w:r>
      <w:bookmarkEnd w:id="6"/>
      <w:r>
        <w:rPr>
          <w:u w:color="000000"/>
          <w:bdr w:val="nil"/>
          <w:lang w:eastAsia="es-MX"/>
        </w:rPr>
        <w:t>VI</w:t>
      </w:r>
    </w:p>
    <w:p w14:paraId="3160EE5D" w14:textId="77777777" w:rsidR="003661CD" w:rsidRPr="005A7F40" w:rsidRDefault="003661CD" w:rsidP="003661CD">
      <w:pPr>
        <w:pStyle w:val="NormalExtraBold"/>
        <w:rPr>
          <w:u w:color="000000"/>
          <w:bdr w:val="nil"/>
          <w:lang w:val="es-ES" w:eastAsia="es-MX"/>
        </w:rPr>
      </w:pPr>
      <w:r>
        <w:rPr>
          <w:u w:color="000000"/>
          <w:bdr w:val="nil"/>
          <w:lang w:val="es-ES" w:eastAsia="es-MX"/>
        </w:rPr>
        <w:t>Disposiciones finales</w:t>
      </w:r>
    </w:p>
    <w:p w14:paraId="6EA545EA"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57823EF"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33</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Supletoriedad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7D076076"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En lo previsto en los presentes Lineamientos, será aplicable de manera supletoria la legislación en materia de fiscalización superior, disciplina financiera, contabilidad gubernamental, adquisiciones, así como las demás disposiciones jurídicas y administrativas aplicables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1F0C8A80"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F2A1F40" w14:textId="77777777" w:rsidR="003661CD"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34</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Interpretación </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w:t>
      </w:r>
    </w:p>
    <w:p w14:paraId="4DFDB06B" w14:textId="77777777" w:rsidR="003661CD" w:rsidRPr="005A7F40" w:rsidRDefault="003661CD" w:rsidP="003661CD">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La interpretación de los presentes Lineamientos, para efectos administrativos y operativos, corresponderá a la persona titular de la Auditoría Superior, sin perjuicios de las atribuciones que correspondan a otras autoridades competentes</w:t>
      </w:r>
      <w:r w:rsidRPr="00103CE8">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1865CE5E"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4AAA94B"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b/>
          <w:bCs/>
          <w:color w:val="000000"/>
          <w:u w:color="000000"/>
          <w:bdr w:val="nil"/>
          <w:lang w:val="es-ES" w:eastAsia="es-MX"/>
          <w14:textOutline w14:w="0" w14:cap="flat" w14:cmpd="sng" w14:algn="ctr">
            <w14:noFill/>
            <w14:prstDash w14:val="solid"/>
            <w14:bevel/>
          </w14:textOutline>
        </w:rPr>
        <w:t>Artículo 35</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Casos no previstos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722D5E1C"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Los casos no previstos en los presentes Lineamientos serán resultados por la persona titular de la Auditoría Superior, previo análisis técnico de las áreas competentes y, en su caso, con la opinión del Comité Técnico, conforme a los principios de legalidad, eficiencia, transparencia y rendición de cuentas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51805D65" w14:textId="77777777" w:rsidR="003661CD" w:rsidRDefault="003661CD" w:rsidP="003661CD">
      <w:pPr>
        <w:pStyle w:val="NormalExtraBold"/>
      </w:pPr>
    </w:p>
    <w:p w14:paraId="448BC408" w14:textId="77777777" w:rsidR="003661CD" w:rsidRPr="00D124CE" w:rsidRDefault="003661CD" w:rsidP="003661CD">
      <w:pPr>
        <w:pStyle w:val="NormalExtraBold"/>
        <w:rPr>
          <w:u w:color="000000"/>
          <w:bdr w:val="nil"/>
          <w:lang w:eastAsia="es-MX"/>
        </w:rPr>
      </w:pPr>
      <w:r w:rsidRPr="00D124CE">
        <w:rPr>
          <w:u w:color="000000"/>
          <w:bdr w:val="nil"/>
          <w:lang w:eastAsia="es-MX"/>
        </w:rPr>
        <w:t xml:space="preserve">Disposiciones Transitorias </w:t>
      </w:r>
    </w:p>
    <w:p w14:paraId="40EC46AA" w14:textId="77777777" w:rsidR="003661CD" w:rsidRPr="00D124CE" w:rsidRDefault="003661CD" w:rsidP="003661CD">
      <w:pPr>
        <w:pBdr>
          <w:top w:val="nil"/>
          <w:left w:val="nil"/>
          <w:bottom w:val="nil"/>
          <w:right w:val="nil"/>
          <w:between w:val="nil"/>
          <w:bar w:val="nil"/>
        </w:pBdr>
        <w:rPr>
          <w:rFonts w:asciiTheme="majorHAnsi" w:hAnsiTheme="majorHAnsi" w:cstheme="majorHAnsi"/>
          <w:u w:color="000000"/>
          <w:bdr w:val="nil"/>
          <w:lang w:eastAsia="es-MX"/>
        </w:rPr>
      </w:pPr>
    </w:p>
    <w:p w14:paraId="435FC6D8" w14:textId="77777777" w:rsidR="003661CD" w:rsidRDefault="003661CD" w:rsidP="003661CD">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b/>
          <w:bCs/>
          <w:color w:val="000000"/>
          <w:u w:color="000000"/>
          <w:bdr w:val="nil"/>
          <w:lang w:eastAsia="es-MX"/>
          <w14:textOutline w14:w="0" w14:cap="flat" w14:cmpd="sng" w14:algn="ctr">
            <w14:noFill/>
            <w14:prstDash w14:val="solid"/>
            <w14:bevel/>
          </w14:textOutline>
        </w:rPr>
        <w:t>Artículo único</w:t>
      </w:r>
      <w:r w:rsidRPr="005B730D">
        <w:rPr>
          <w:rFonts w:ascii="Poppins" w:eastAsia="Poppins" w:hAnsi="Poppins" w:cs="Poppins"/>
          <w:b/>
          <w:bCs/>
          <w:color w:val="000000"/>
          <w:u w:color="000000"/>
          <w:bdr w:val="nil"/>
          <w:lang w:eastAsia="es-MX"/>
          <w14:textOutline w14:w="0" w14:cap="flat" w14:cmpd="sng" w14:algn="ctr">
            <w14:noFill/>
            <w14:prstDash w14:val="solid"/>
            <w14:bevel/>
          </w14:textOutline>
        </w:rPr>
        <w:t>.</w:t>
      </w:r>
      <w:r>
        <w:rPr>
          <w:rFonts w:ascii="Poppins" w:eastAsia="Poppins" w:hAnsi="Poppins" w:cs="Poppins"/>
          <w:b/>
          <w:bCs/>
          <w:color w:val="000000"/>
          <w:u w:color="000000"/>
          <w:bdr w:val="nil"/>
          <w:lang w:eastAsia="es-MX"/>
          <w14:textOutline w14:w="0" w14:cap="flat" w14:cmpd="sng" w14:algn="ctr">
            <w14:noFill/>
            <w14:prstDash w14:val="solid"/>
            <w14:bevel/>
          </w14:textOutline>
        </w:rPr>
        <w:t xml:space="preserve"> instrumentación administrativa </w:t>
      </w:r>
      <w:r w:rsidRPr="005B730D">
        <w:rPr>
          <w:rFonts w:ascii="Poppins" w:eastAsia="Poppins" w:hAnsi="Poppins" w:cs="Poppins"/>
          <w:color w:val="000000"/>
          <w:u w:color="000000"/>
          <w:bdr w:val="nil"/>
          <w:lang w:eastAsia="es-MX"/>
          <w14:textOutline w14:w="0" w14:cap="flat" w14:cmpd="sng" w14:algn="ctr">
            <w14:noFill/>
            <w14:prstDash w14:val="solid"/>
            <w14:bevel/>
          </w14:textOutline>
        </w:rPr>
        <w:t xml:space="preserve"> </w:t>
      </w:r>
    </w:p>
    <w:p w14:paraId="4C5C1333"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t>La Dirección Administrativa de la Auditoría Superior, con apoyo de las áreas competentes, será responsable de generar e instrumentar los mecanismos operativos necesarios para la aplicación de los presentes Lineamientos, incluyendo la adecuación del Programa Anual, la integración y actualización de inventarios, el seguimiento del ejercicio de los recursos y la documentación derivada de las sesiones del Comité Técnico.</w:t>
      </w:r>
    </w:p>
    <w:p w14:paraId="0359775A" w14:textId="77777777" w:rsidR="003661CD" w:rsidRPr="005A7F40" w:rsidRDefault="003661CD" w:rsidP="003661CD">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1A4479C9" w14:textId="77777777" w:rsidR="003661CD" w:rsidRPr="009148C5" w:rsidRDefault="003661CD" w:rsidP="003661CD">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2666BE49" w14:textId="24427731" w:rsidR="00A45BAE" w:rsidRDefault="00A45BAE" w:rsidP="003661CD">
      <w:pPr>
        <w:pStyle w:val="NormalExtraBold"/>
        <w:jc w:val="both"/>
      </w:pPr>
    </w:p>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Mali Light">
    <w:altName w:val="Calibri"/>
    <w:charset w:val="00"/>
    <w:family w:val="auto"/>
    <w:pitch w:val="default"/>
  </w:font>
  <w:font w:name="Sublima ExtraBold">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D2043E" w:rsidR="00CC0B99" w:rsidRDefault="00CC0B99" w:rsidP="005848F9">
    <w:pPr>
      <w:pStyle w:val="Encabezado"/>
    </w:pPr>
    <w:r>
      <w:rPr>
        <w:noProof/>
      </w:rPr>
      <w:drawing>
        <wp:anchor distT="0" distB="0" distL="114300" distR="114300" simplePos="0" relativeHeight="251663360" behindDoc="0" locked="0" layoutInCell="1" allowOverlap="1" wp14:anchorId="0F9FD005" wp14:editId="64F9742C">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1">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2">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7D56"/>
    <w:multiLevelType w:val="hybridMultilevel"/>
    <w:tmpl w:val="54AA643C"/>
    <w:lvl w:ilvl="0" w:tplc="47121086">
      <w:start w:val="1"/>
      <w:numFmt w:val="lowerLetter"/>
      <w:lvlText w:val="%1)"/>
      <w:lvlJc w:val="left"/>
      <w:pPr>
        <w:ind w:left="1080" w:hanging="360"/>
      </w:pPr>
      <w:rPr>
        <w:rFonts w:hint="default"/>
        <w:b w:val="0"/>
        <w:b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144C70"/>
    <w:multiLevelType w:val="hybridMultilevel"/>
    <w:tmpl w:val="1C60DAD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042F64"/>
    <w:multiLevelType w:val="hybridMultilevel"/>
    <w:tmpl w:val="7D42DF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F9A7B92"/>
    <w:multiLevelType w:val="hybridMultilevel"/>
    <w:tmpl w:val="926A5D92"/>
    <w:lvl w:ilvl="0" w:tplc="47121086">
      <w:start w:val="1"/>
      <w:numFmt w:val="lowerLetter"/>
      <w:lvlText w:val="%1)"/>
      <w:lvlJc w:val="left"/>
      <w:pPr>
        <w:ind w:left="1080" w:hanging="360"/>
      </w:pPr>
      <w:rPr>
        <w:rFonts w:hint="default"/>
        <w:b w:val="0"/>
        <w:b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5D2E6887"/>
    <w:multiLevelType w:val="hybridMultilevel"/>
    <w:tmpl w:val="9398CC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1D16CD2"/>
    <w:multiLevelType w:val="hybridMultilevel"/>
    <w:tmpl w:val="703E929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1B2CE5"/>
    <w:multiLevelType w:val="hybridMultilevel"/>
    <w:tmpl w:val="1C60DA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8C17DE3"/>
    <w:multiLevelType w:val="hybridMultilevel"/>
    <w:tmpl w:val="70A4DFDC"/>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29D377E"/>
    <w:multiLevelType w:val="hybridMultilevel"/>
    <w:tmpl w:val="8D9E7FA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E33966"/>
    <w:multiLevelType w:val="hybridMultilevel"/>
    <w:tmpl w:val="7FFAFD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11"/>
  </w:num>
  <w:num w:numId="4">
    <w:abstractNumId w:val="6"/>
  </w:num>
  <w:num w:numId="5">
    <w:abstractNumId w:val="8"/>
  </w:num>
  <w:num w:numId="6">
    <w:abstractNumId w:val="5"/>
  </w:num>
  <w:num w:numId="7">
    <w:abstractNumId w:val="0"/>
  </w:num>
  <w:num w:numId="8">
    <w:abstractNumId w:val="10"/>
  </w:num>
  <w:num w:numId="9">
    <w:abstractNumId w:val="3"/>
  </w:num>
  <w:num w:numId="10">
    <w:abstractNumId w:val="9"/>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56DAB"/>
    <w:rsid w:val="001651E3"/>
    <w:rsid w:val="001C54D6"/>
    <w:rsid w:val="0022062E"/>
    <w:rsid w:val="00240F1D"/>
    <w:rsid w:val="00264E31"/>
    <w:rsid w:val="00285D1F"/>
    <w:rsid w:val="00301AF8"/>
    <w:rsid w:val="0036430C"/>
    <w:rsid w:val="003661CD"/>
    <w:rsid w:val="00383B6D"/>
    <w:rsid w:val="004978C6"/>
    <w:rsid w:val="004F3D20"/>
    <w:rsid w:val="005848F9"/>
    <w:rsid w:val="005A3C5D"/>
    <w:rsid w:val="005B3127"/>
    <w:rsid w:val="005F30C2"/>
    <w:rsid w:val="00750413"/>
    <w:rsid w:val="00761F51"/>
    <w:rsid w:val="00851665"/>
    <w:rsid w:val="008D5FC2"/>
    <w:rsid w:val="0090609C"/>
    <w:rsid w:val="009B1EA0"/>
    <w:rsid w:val="00A45BAE"/>
    <w:rsid w:val="00A97759"/>
    <w:rsid w:val="00CC0B99"/>
    <w:rsid w:val="00D124CE"/>
    <w:rsid w:val="00DA6439"/>
    <w:rsid w:val="00DE77B4"/>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PrrafodelistaCar">
    <w:name w:val="Párrafo de lista Car"/>
    <w:aliases w:val="lp1 Car,List Paragraph1 Car"/>
    <w:link w:val="Prrafodelista"/>
    <w:locked/>
    <w:rsid w:val="003661CD"/>
    <w:rPr>
      <w:rFonts w:asciiTheme="minorHAnsi" w:hAnsiTheme="minorHAnsi" w:cs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3477</Words>
  <Characters>19127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dcterms:created xsi:type="dcterms:W3CDTF">2026-07-02T18:23:00Z</dcterms:created>
  <dcterms:modified xsi:type="dcterms:W3CDTF">2026-07-06T22:52:00Z</dcterms:modified>
</cp:coreProperties>
</file>